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E4D4" w14:textId="3E399825" w:rsidR="000E70F2" w:rsidRPr="00DB2E3A" w:rsidRDefault="000E70F2" w:rsidP="00DB2E3A">
      <w:pPr>
        <w:spacing w:before="210" w:after="0" w:line="240" w:lineRule="auto"/>
        <w:jc w:val="center"/>
        <w:rPr>
          <w:rFonts w:ascii="Times New Roman" w:hAnsi="Times New Roman"/>
          <w:b/>
          <w:bCs/>
          <w:sz w:val="48"/>
          <w:szCs w:val="48"/>
        </w:rPr>
      </w:pPr>
      <w:r w:rsidRPr="00DB2E3A">
        <w:rPr>
          <w:rFonts w:ascii="Times New Roman" w:hAnsi="Times New Roman"/>
          <w:b/>
          <w:bCs/>
          <w:sz w:val="48"/>
          <w:szCs w:val="48"/>
        </w:rPr>
        <w:t>Physiotherapy and Pain Modulation: Mechanistic Insights into Non-Pharmacological Interventions</w:t>
      </w:r>
    </w:p>
    <w:p w14:paraId="24C1E3D8" w14:textId="1A4CD962" w:rsidR="007317AE" w:rsidRPr="00FF3A3A" w:rsidRDefault="00FF3A3A" w:rsidP="00FF3A3A">
      <w:pPr>
        <w:spacing w:before="210" w:after="0" w:line="360" w:lineRule="auto"/>
        <w:jc w:val="center"/>
        <w:rPr>
          <w:rFonts w:ascii="Times New Roman" w:hAnsi="Times New Roman" w:cs="Times New Roman"/>
          <w:b/>
          <w:bCs/>
          <w:sz w:val="24"/>
          <w:szCs w:val="24"/>
          <w:lang w:val="en-IN"/>
        </w:rPr>
      </w:pPr>
      <w:r w:rsidRPr="007F411A">
        <w:rPr>
          <w:rFonts w:ascii="Times New Roman" w:hAnsi="Times New Roman" w:cs="Times New Roman"/>
          <w:b/>
          <w:bCs/>
          <w:sz w:val="24"/>
          <w:szCs w:val="24"/>
          <w:lang w:val="en-IN"/>
        </w:rPr>
        <w:t>Faisal Kamal Sulaiman Alhabib</w:t>
      </w:r>
      <w:r w:rsidRPr="00FF3A3A">
        <w:rPr>
          <w:rFonts w:ascii="Times New Roman" w:hAnsi="Times New Roman" w:cs="Times New Roman"/>
          <w:b/>
          <w:bCs/>
          <w:sz w:val="24"/>
          <w:szCs w:val="24"/>
          <w:vertAlign w:val="superscript"/>
          <w:lang w:val="en-IN"/>
        </w:rPr>
        <w:t>1</w:t>
      </w:r>
      <w:r>
        <w:rPr>
          <w:rFonts w:ascii="Times New Roman" w:hAnsi="Times New Roman" w:cs="Times New Roman"/>
          <w:b/>
          <w:bCs/>
          <w:sz w:val="24"/>
          <w:szCs w:val="24"/>
          <w:vertAlign w:val="superscript"/>
          <w:lang w:val="en-IN"/>
        </w:rPr>
        <w:t>*</w:t>
      </w:r>
    </w:p>
    <w:p w14:paraId="01A68145" w14:textId="10B03800" w:rsidR="007C4E3F" w:rsidRDefault="00A81344" w:rsidP="00166E7C">
      <w:pPr>
        <w:pStyle w:val="Author"/>
        <w:spacing w:before="160" w:after="80"/>
        <w:rPr>
          <w:rFonts w:eastAsia="Times New Roman"/>
          <w:bCs/>
          <w:sz w:val="20"/>
          <w:szCs w:val="20"/>
        </w:rPr>
      </w:pPr>
      <w:r w:rsidRPr="005C4783">
        <w:rPr>
          <w:rFonts w:eastAsia="Times New Roman"/>
          <w:bCs/>
          <w:sz w:val="20"/>
          <w:szCs w:val="20"/>
        </w:rPr>
        <w:t xml:space="preserve"> </w:t>
      </w:r>
      <w:r w:rsidR="00E72106" w:rsidRPr="005C4783">
        <w:rPr>
          <w:rFonts w:eastAsia="Times New Roman"/>
          <w:bCs/>
          <w:sz w:val="20"/>
          <w:szCs w:val="20"/>
          <w:vertAlign w:val="superscript"/>
        </w:rPr>
        <w:t>1</w:t>
      </w:r>
      <w:r w:rsidR="00B10736">
        <w:rPr>
          <w:rFonts w:eastAsia="Times New Roman"/>
          <w:bCs/>
          <w:sz w:val="20"/>
          <w:szCs w:val="20"/>
          <w:vertAlign w:val="superscript"/>
        </w:rPr>
        <w:t>*</w:t>
      </w:r>
      <w:r w:rsidR="007C4E3F" w:rsidRPr="007C4E3F">
        <w:rPr>
          <w:rFonts w:eastAsia="Times New Roman"/>
          <w:bCs/>
          <w:sz w:val="20"/>
          <w:szCs w:val="20"/>
        </w:rPr>
        <w:t>Prince Sultan Military Medical City, Riyadh, Saudi Arabia</w:t>
      </w:r>
    </w:p>
    <w:p w14:paraId="1B04A01C" w14:textId="0578D33E" w:rsidR="00514377" w:rsidRPr="00166E7C" w:rsidRDefault="00C01E35" w:rsidP="00166E7C">
      <w:pPr>
        <w:pStyle w:val="Author"/>
        <w:spacing w:before="160" w:after="80"/>
        <w:rPr>
          <w:rFonts w:eastAsia="Times New Roman"/>
          <w:bCs/>
          <w:sz w:val="20"/>
          <w:szCs w:val="20"/>
        </w:rPr>
      </w:pPr>
      <w:r w:rsidRPr="005C4783">
        <w:rPr>
          <w:rFonts w:eastAsia="Times New Roman"/>
          <w:b/>
          <w:sz w:val="20"/>
          <w:szCs w:val="20"/>
        </w:rPr>
        <w:t xml:space="preserve">*Corresponding Email: </w:t>
      </w:r>
      <w:r w:rsidR="00C05F61" w:rsidRPr="005C4783">
        <w:rPr>
          <w:b/>
          <w:sz w:val="20"/>
          <w:szCs w:val="20"/>
        </w:rPr>
        <w:t xml:space="preserve"> </w:t>
      </w:r>
      <w:r w:rsidR="00DB2E3A">
        <w:rPr>
          <w:b/>
          <w:sz w:val="20"/>
          <w:szCs w:val="20"/>
        </w:rPr>
        <w:t>f</w:t>
      </w:r>
      <w:r w:rsidR="00DB2E3A" w:rsidRPr="00DB2E3A">
        <w:rPr>
          <w:b/>
          <w:sz w:val="20"/>
          <w:szCs w:val="20"/>
        </w:rPr>
        <w:t>alhabaib@psmmc.med.sa</w:t>
      </w:r>
    </w:p>
    <w:tbl>
      <w:tblPr>
        <w:tblpPr w:leftFromText="180" w:rightFromText="180" w:vertAnchor="text" w:horzAnchor="page" w:tblpX="7271" w:tblpY="560"/>
        <w:tblW w:w="0" w:type="auto"/>
        <w:tblBorders>
          <w:top w:val="triple" w:sz="4" w:space="0" w:color="auto"/>
          <w:left w:val="triple" w:sz="4" w:space="0" w:color="auto"/>
          <w:bottom w:val="triple" w:sz="4" w:space="0" w:color="auto"/>
          <w:right w:val="triple" w:sz="4" w:space="0" w:color="auto"/>
        </w:tblBorders>
        <w:tblLook w:val="0000" w:firstRow="0" w:lastRow="0" w:firstColumn="0" w:lastColumn="0" w:noHBand="0" w:noVBand="0"/>
      </w:tblPr>
      <w:tblGrid>
        <w:gridCol w:w="4133"/>
      </w:tblGrid>
      <w:tr w:rsidR="00877BE3" w14:paraId="469DDE7C" w14:textId="77777777" w:rsidTr="00A85231">
        <w:trPr>
          <w:trHeight w:val="5762"/>
        </w:trPr>
        <w:tc>
          <w:tcPr>
            <w:tcW w:w="4133" w:type="dxa"/>
          </w:tcPr>
          <w:p w14:paraId="456048DC" w14:textId="77777777" w:rsidR="00877BE3" w:rsidRDefault="00877BE3" w:rsidP="00D461AD">
            <w:pPr>
              <w:spacing w:after="0" w:line="240" w:lineRule="auto"/>
              <w:ind w:right="445"/>
              <w:jc w:val="both"/>
              <w:rPr>
                <w:rFonts w:ascii="Times New Roman" w:hAnsi="Times New Roman" w:cs="Times New Roman"/>
                <w:sz w:val="20"/>
              </w:rPr>
            </w:pPr>
          </w:p>
          <w:p w14:paraId="2AFD164B" w14:textId="0C4DD0AF" w:rsidR="00641FAF" w:rsidRDefault="00877BE3" w:rsidP="00A1765E">
            <w:pPr>
              <w:jc w:val="both"/>
              <w:rPr>
                <w:rFonts w:ascii="Times New Roman" w:hAnsi="Times New Roman" w:cs="Times New Roman"/>
                <w:b/>
                <w:bCs/>
                <w:sz w:val="20"/>
              </w:rPr>
            </w:pPr>
            <w:r w:rsidRPr="005865A5">
              <w:rPr>
                <w:rFonts w:ascii="Times New Roman" w:hAnsi="Times New Roman" w:cs="Times New Roman"/>
                <w:b/>
                <w:bCs/>
                <w:sz w:val="20"/>
              </w:rPr>
              <w:t>Key Words:</w:t>
            </w:r>
          </w:p>
          <w:p w14:paraId="4720194F" w14:textId="1CECF7F3" w:rsidR="002D3101" w:rsidRPr="000D357F" w:rsidRDefault="000D357F" w:rsidP="00D461AD">
            <w:pPr>
              <w:spacing w:line="360" w:lineRule="auto"/>
              <w:jc w:val="both"/>
              <w:rPr>
                <w:rFonts w:ascii="Times New Roman" w:hAnsi="Times New Roman" w:cs="Times New Roman"/>
                <w:sz w:val="20"/>
              </w:rPr>
            </w:pPr>
            <w:r w:rsidRPr="000D357F">
              <w:rPr>
                <w:rFonts w:ascii="Times New Roman" w:hAnsi="Times New Roman" w:cs="Times New Roman"/>
                <w:sz w:val="20"/>
              </w:rPr>
              <w:t>Physiotherapy, pain modulation, non-pharmacological interventions, exercise therapy, TENS, chronic pain, central sensitization.</w:t>
            </w:r>
          </w:p>
          <w:p w14:paraId="40DFD67E" w14:textId="21334663" w:rsidR="00877BE3" w:rsidRPr="0009081D" w:rsidRDefault="003D32D5" w:rsidP="00D461AD">
            <w:pPr>
              <w:spacing w:line="360" w:lineRule="auto"/>
              <w:jc w:val="both"/>
              <w:rPr>
                <w:rFonts w:ascii="Times New Roman" w:hAnsi="Times New Roman" w:cs="Times New Roman"/>
                <w:sz w:val="20"/>
              </w:rPr>
            </w:pPr>
            <w:r w:rsidRPr="0009081D">
              <w:rPr>
                <w:rFonts w:ascii="Times New Roman" w:hAnsi="Times New Roman" w:cs="Times New Roman"/>
                <w:sz w:val="20"/>
              </w:rPr>
              <w:t>History</w:t>
            </w:r>
            <w:r w:rsidR="00877BE3" w:rsidRPr="0009081D">
              <w:rPr>
                <w:rFonts w:ascii="Times New Roman" w:hAnsi="Times New Roman" w:cs="Times New Roman"/>
                <w:sz w:val="20"/>
              </w:rPr>
              <w:t>:</w:t>
            </w:r>
          </w:p>
          <w:p w14:paraId="66347809" w14:textId="036D3881" w:rsidR="00877BE3" w:rsidRDefault="005F59D8" w:rsidP="00D461AD">
            <w:pPr>
              <w:jc w:val="both"/>
              <w:rPr>
                <w:rFonts w:ascii="Calibri" w:hAnsi="Calibri" w:cs="Calibri"/>
                <w:kern w:val="0"/>
                <w:sz w:val="16"/>
                <w:szCs w:val="16"/>
              </w:rPr>
            </w:pPr>
            <w:r>
              <w:rPr>
                <w:rFonts w:ascii="Calibri" w:hAnsi="Calibri" w:cs="Calibri"/>
                <w:kern w:val="0"/>
                <w:sz w:val="16"/>
                <w:szCs w:val="16"/>
              </w:rPr>
              <w:t xml:space="preserve">Received: </w:t>
            </w:r>
            <w:r w:rsidR="00F936E4">
              <w:rPr>
                <w:rFonts w:ascii="Calibri" w:hAnsi="Calibri" w:cs="Calibri"/>
                <w:kern w:val="0"/>
                <w:sz w:val="16"/>
                <w:szCs w:val="16"/>
              </w:rPr>
              <w:t>Aug</w:t>
            </w:r>
            <w:r w:rsidR="0069029F">
              <w:rPr>
                <w:rFonts w:ascii="Calibri" w:hAnsi="Calibri" w:cs="Calibri"/>
                <w:kern w:val="0"/>
                <w:sz w:val="16"/>
                <w:szCs w:val="16"/>
              </w:rPr>
              <w:t xml:space="preserve"> 18, 2025</w:t>
            </w:r>
          </w:p>
          <w:p w14:paraId="7273D41C" w14:textId="555D4A9F" w:rsidR="006E265F" w:rsidRPr="006D4711" w:rsidRDefault="006E265F" w:rsidP="00D461AD">
            <w:pPr>
              <w:jc w:val="both"/>
              <w:rPr>
                <w:rFonts w:ascii="Times New Roman" w:hAnsi="Times New Roman" w:cs="Times New Roman"/>
                <w:sz w:val="20"/>
              </w:rPr>
            </w:pPr>
            <w:r>
              <w:rPr>
                <w:rFonts w:ascii="Calibri" w:hAnsi="Calibri" w:cs="Calibri"/>
                <w:kern w:val="0"/>
                <w:sz w:val="16"/>
                <w:szCs w:val="16"/>
              </w:rPr>
              <w:t>Revised:</w:t>
            </w:r>
            <w:r w:rsidR="005F59D8">
              <w:rPr>
                <w:rFonts w:ascii="Calibri" w:hAnsi="Calibri" w:cs="Calibri"/>
                <w:kern w:val="0"/>
                <w:sz w:val="16"/>
                <w:szCs w:val="16"/>
              </w:rPr>
              <w:t xml:space="preserve"> </w:t>
            </w:r>
            <w:r w:rsidR="00F936E4">
              <w:rPr>
                <w:rFonts w:ascii="Calibri" w:hAnsi="Calibri" w:cs="Calibri"/>
                <w:kern w:val="0"/>
                <w:sz w:val="16"/>
                <w:szCs w:val="16"/>
              </w:rPr>
              <w:t>Sep</w:t>
            </w:r>
            <w:r w:rsidR="0069029F">
              <w:rPr>
                <w:rFonts w:ascii="Calibri" w:hAnsi="Calibri" w:cs="Calibri"/>
                <w:kern w:val="0"/>
                <w:sz w:val="16"/>
                <w:szCs w:val="16"/>
              </w:rPr>
              <w:t xml:space="preserve"> 01, 2025</w:t>
            </w:r>
          </w:p>
          <w:p w14:paraId="05EDF06D" w14:textId="2A4BDAE3" w:rsidR="00877BE3" w:rsidRDefault="00C07592" w:rsidP="00D461AD">
            <w:pPr>
              <w:autoSpaceDE w:val="0"/>
              <w:autoSpaceDN w:val="0"/>
              <w:adjustRightInd w:val="0"/>
              <w:spacing w:after="0" w:line="240" w:lineRule="auto"/>
              <w:jc w:val="both"/>
              <w:rPr>
                <w:rFonts w:ascii="Calibri" w:hAnsi="Calibri" w:cs="Calibri"/>
                <w:kern w:val="0"/>
                <w:sz w:val="16"/>
                <w:szCs w:val="16"/>
              </w:rPr>
            </w:pPr>
            <w:r>
              <w:rPr>
                <w:rFonts w:ascii="Calibri" w:hAnsi="Calibri" w:cs="Calibri"/>
                <w:kern w:val="0"/>
                <w:sz w:val="16"/>
                <w:szCs w:val="16"/>
              </w:rPr>
              <w:t xml:space="preserve">Accepted: </w:t>
            </w:r>
            <w:r w:rsidR="00D00260">
              <w:rPr>
                <w:rFonts w:ascii="Calibri" w:hAnsi="Calibri" w:cs="Calibri"/>
                <w:kern w:val="0"/>
                <w:sz w:val="16"/>
                <w:szCs w:val="16"/>
              </w:rPr>
              <w:t>Sep</w:t>
            </w:r>
            <w:r w:rsidR="0069029F">
              <w:rPr>
                <w:rFonts w:ascii="Calibri" w:hAnsi="Calibri" w:cs="Calibri"/>
                <w:kern w:val="0"/>
                <w:sz w:val="16"/>
                <w:szCs w:val="16"/>
              </w:rPr>
              <w:t xml:space="preserve"> 15, 2025</w:t>
            </w:r>
          </w:p>
          <w:p w14:paraId="142D4271" w14:textId="77777777" w:rsidR="00877BE3" w:rsidRDefault="00877BE3" w:rsidP="00D461AD">
            <w:pPr>
              <w:autoSpaceDE w:val="0"/>
              <w:autoSpaceDN w:val="0"/>
              <w:adjustRightInd w:val="0"/>
              <w:spacing w:after="0" w:line="240" w:lineRule="auto"/>
              <w:jc w:val="both"/>
              <w:rPr>
                <w:rFonts w:ascii="Calibri" w:hAnsi="Calibri" w:cs="Calibri"/>
                <w:kern w:val="0"/>
                <w:sz w:val="16"/>
                <w:szCs w:val="16"/>
              </w:rPr>
            </w:pPr>
          </w:p>
          <w:p w14:paraId="2E6FEC53" w14:textId="13675FA1" w:rsidR="00B362FF" w:rsidRDefault="00C07592" w:rsidP="00D461AD">
            <w:pPr>
              <w:jc w:val="both"/>
              <w:rPr>
                <w:rFonts w:ascii="Calibri" w:hAnsi="Calibri" w:cs="Calibri"/>
                <w:kern w:val="0"/>
                <w:sz w:val="16"/>
                <w:szCs w:val="16"/>
              </w:rPr>
            </w:pPr>
            <w:r>
              <w:rPr>
                <w:rFonts w:ascii="Calibri" w:hAnsi="Calibri" w:cs="Calibri"/>
                <w:kern w:val="0"/>
                <w:sz w:val="16"/>
                <w:szCs w:val="16"/>
              </w:rPr>
              <w:t xml:space="preserve">Published: </w:t>
            </w:r>
            <w:r w:rsidR="00D00260">
              <w:rPr>
                <w:rFonts w:ascii="Calibri" w:hAnsi="Calibri" w:cs="Calibri"/>
                <w:kern w:val="0"/>
                <w:sz w:val="16"/>
                <w:szCs w:val="16"/>
              </w:rPr>
              <w:t>Sep</w:t>
            </w:r>
            <w:r>
              <w:rPr>
                <w:rFonts w:ascii="Calibri" w:hAnsi="Calibri" w:cs="Calibri"/>
                <w:kern w:val="0"/>
                <w:sz w:val="16"/>
                <w:szCs w:val="16"/>
              </w:rPr>
              <w:t xml:space="preserve"> </w:t>
            </w:r>
            <w:r w:rsidR="0069029F">
              <w:rPr>
                <w:rFonts w:ascii="Calibri" w:hAnsi="Calibri" w:cs="Calibri"/>
                <w:kern w:val="0"/>
                <w:sz w:val="16"/>
                <w:szCs w:val="16"/>
              </w:rPr>
              <w:t>20</w:t>
            </w:r>
            <w:r w:rsidR="00A86C76">
              <w:rPr>
                <w:rFonts w:ascii="Calibri" w:hAnsi="Calibri" w:cs="Calibri"/>
                <w:kern w:val="0"/>
                <w:sz w:val="16"/>
                <w:szCs w:val="16"/>
              </w:rPr>
              <w:t>,</w:t>
            </w:r>
            <w:r w:rsidR="00097645">
              <w:rPr>
                <w:rFonts w:ascii="Calibri" w:hAnsi="Calibri" w:cs="Calibri"/>
                <w:kern w:val="0"/>
                <w:sz w:val="16"/>
                <w:szCs w:val="16"/>
              </w:rPr>
              <w:t xml:space="preserve"> </w:t>
            </w:r>
            <w:r w:rsidR="00877BE3">
              <w:rPr>
                <w:rFonts w:ascii="Calibri" w:hAnsi="Calibri" w:cs="Calibri"/>
                <w:kern w:val="0"/>
                <w:sz w:val="16"/>
                <w:szCs w:val="16"/>
              </w:rPr>
              <w:t>2025</w:t>
            </w:r>
          </w:p>
          <w:p w14:paraId="21C583AD" w14:textId="2E8C5037" w:rsidR="004F6BD7" w:rsidRPr="00CB290E" w:rsidRDefault="00D81920" w:rsidP="00D461AD">
            <w:pPr>
              <w:jc w:val="both"/>
              <w:rPr>
                <w:rFonts w:ascii="Calibri" w:hAnsi="Calibri" w:cs="Calibri"/>
                <w:b/>
                <w:bCs/>
                <w:kern w:val="0"/>
                <w:sz w:val="10"/>
                <w:szCs w:val="10"/>
              </w:rPr>
            </w:pPr>
            <w:r w:rsidRPr="00D81920">
              <w:rPr>
                <w:rFonts w:ascii="Calibri" w:hAnsi="Calibri" w:cs="Calibri"/>
                <w:b/>
                <w:bCs/>
                <w:kern w:val="0"/>
                <w:sz w:val="16"/>
                <w:szCs w:val="16"/>
              </w:rPr>
              <w:t>DOI:</w:t>
            </w:r>
            <w:r>
              <w:rPr>
                <w:rFonts w:ascii="TimesNewRomanPS-BoldMT" w:hAnsi="TimesNewRomanPS-BoldMT" w:cs="TimesNewRomanPS-BoldMT"/>
                <w:b/>
                <w:bCs/>
                <w:kern w:val="0"/>
                <w:sz w:val="16"/>
                <w:szCs w:val="16"/>
                <w:lang w:val="en-IN" w:bidi="ar-SA"/>
              </w:rPr>
              <w:t xml:space="preserve"> </w:t>
            </w:r>
            <w:hyperlink r:id="rId8" w:history="1">
              <w:r w:rsidR="000D357F" w:rsidRPr="00F67A58">
                <w:rPr>
                  <w:rStyle w:val="Hyperlink"/>
                  <w:rFonts w:ascii="Montserrat" w:hAnsi="Montserrat"/>
                  <w:b/>
                  <w:bCs/>
                  <w:sz w:val="14"/>
                  <w:szCs w:val="14"/>
                  <w:shd w:val="clear" w:color="auto" w:fill="FFFFFF"/>
                </w:rPr>
                <w:t>https://doi.org/10.64063/3049-1681.vol.2.issue9.6</w:t>
              </w:r>
            </w:hyperlink>
            <w:r w:rsidR="00EF2F45">
              <w:rPr>
                <w:rFonts w:ascii="Montserrat" w:hAnsi="Montserrat"/>
                <w:b/>
                <w:bCs/>
                <w:sz w:val="14"/>
                <w:szCs w:val="14"/>
                <w:shd w:val="clear" w:color="auto" w:fill="FFFFFF"/>
              </w:rPr>
              <w:t xml:space="preserve"> </w:t>
            </w:r>
          </w:p>
          <w:p w14:paraId="38FC6AE6" w14:textId="5478C0AC" w:rsidR="00421E07" w:rsidRPr="00633E7C" w:rsidRDefault="00421E07" w:rsidP="00D461AD">
            <w:pPr>
              <w:jc w:val="both"/>
              <w:rPr>
                <w:rFonts w:ascii="Calibri" w:hAnsi="Calibri" w:cs="Calibri"/>
                <w:kern w:val="0"/>
                <w:sz w:val="16"/>
                <w:szCs w:val="16"/>
              </w:rPr>
            </w:pPr>
          </w:p>
        </w:tc>
      </w:tr>
    </w:tbl>
    <w:p w14:paraId="0FD8C52E" w14:textId="532849AE" w:rsidR="00D21D42" w:rsidRPr="008B5545" w:rsidRDefault="00E26FE6" w:rsidP="00BD41D6">
      <w:pPr>
        <w:spacing w:after="0" w:line="240" w:lineRule="auto"/>
        <w:ind w:right="454"/>
        <w:jc w:val="both"/>
        <w:rPr>
          <w:rFonts w:ascii="Times New Roman" w:hAnsi="Times New Roman" w:cs="Times New Roman"/>
          <w:sz w:val="20"/>
        </w:rPr>
      </w:pPr>
      <w:r w:rsidRPr="00E9797E">
        <w:rPr>
          <w:rFonts w:ascii="Calibri" w:eastAsia="Calibri" w:hAnsi="Calibri" w:cs="Mangal"/>
          <w:noProof/>
          <w:kern w:val="0"/>
          <w:szCs w:val="22"/>
          <w:lang w:bidi="ar-SA"/>
          <w14:ligatures w14:val="none"/>
        </w:rPr>
        <mc:AlternateContent>
          <mc:Choice Requires="wps">
            <w:drawing>
              <wp:anchor distT="0" distB="0" distL="0" distR="0" simplePos="0" relativeHeight="251659264" behindDoc="1" locked="0" layoutInCell="1" allowOverlap="1" wp14:anchorId="5D8F7CDD" wp14:editId="3ECD34CA">
                <wp:simplePos x="0" y="0"/>
                <wp:positionH relativeFrom="margin">
                  <wp:posOffset>-463550</wp:posOffset>
                </wp:positionH>
                <wp:positionV relativeFrom="paragraph">
                  <wp:posOffset>292735</wp:posOffset>
                </wp:positionV>
                <wp:extent cx="4076700" cy="3676650"/>
                <wp:effectExtent l="0" t="0" r="0" b="0"/>
                <wp:wrapTopAndBottom/>
                <wp:docPr id="566486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3676650"/>
                        </a:xfrm>
                        <a:prstGeom prst="rect">
                          <a:avLst/>
                        </a:prstGeom>
                        <a:solidFill>
                          <a:srgbClr val="D1D2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02B15" w14:textId="77777777" w:rsidR="00C07592" w:rsidRPr="00A85231" w:rsidRDefault="00E9797E" w:rsidP="00A85231">
                            <w:pPr>
                              <w:spacing w:before="100" w:beforeAutospacing="1" w:after="100" w:afterAutospacing="1" w:line="240" w:lineRule="auto"/>
                              <w:jc w:val="both"/>
                              <w:rPr>
                                <w:rFonts w:ascii="Times New Roman" w:eastAsia="Times New Roman" w:hAnsi="Times New Roman" w:cs="Times New Roman"/>
                                <w:b/>
                                <w:bCs/>
                                <w:kern w:val="0"/>
                                <w:sz w:val="20"/>
                                <w:lang w:bidi="ar-SA"/>
                                <w14:ligatures w14:val="none"/>
                              </w:rPr>
                            </w:pPr>
                            <w:r w:rsidRPr="00A85231">
                              <w:rPr>
                                <w:rFonts w:ascii="Times New Roman" w:eastAsia="Times New Roman" w:hAnsi="Times New Roman" w:cs="Times New Roman"/>
                                <w:b/>
                                <w:bCs/>
                                <w:kern w:val="0"/>
                                <w:sz w:val="20"/>
                                <w:lang w:bidi="ar-SA"/>
                                <w14:ligatures w14:val="none"/>
                              </w:rPr>
                              <w:t>Abstract</w:t>
                            </w:r>
                          </w:p>
                          <w:p w14:paraId="0ED53117" w14:textId="77777777" w:rsidR="00A85231" w:rsidRPr="00A85231" w:rsidRDefault="00A85231" w:rsidP="00A85231">
                            <w:pPr>
                              <w:spacing w:before="315" w:after="105" w:line="240" w:lineRule="auto"/>
                              <w:ind w:left="-30"/>
                              <w:jc w:val="both"/>
                              <w:rPr>
                                <w:rFonts w:ascii="Times New Roman" w:hAnsi="Times New Roman" w:cs="Times New Roman"/>
                                <w:sz w:val="20"/>
                              </w:rPr>
                            </w:pPr>
                            <w:r w:rsidRPr="00A85231">
                              <w:rPr>
                                <w:rStyle w:val="Strong"/>
                                <w:rFonts w:ascii="Times New Roman" w:hAnsi="Times New Roman" w:cs="Times New Roman"/>
                                <w:sz w:val="20"/>
                              </w:rPr>
                              <w:t xml:space="preserve">Aim and Objectives: </w:t>
                            </w:r>
                            <w:r w:rsidRPr="00A85231">
                              <w:rPr>
                                <w:rFonts w:ascii="Times New Roman" w:hAnsi="Times New Roman" w:cs="Times New Roman"/>
                                <w:sz w:val="20"/>
                              </w:rPr>
                              <w:t xml:space="preserve">This study aims to evaluate the role of physiotherapy in pain modulation and to provide mechanistic insights into non-pharmacological interventions that complement or substitute pharmacologic therapies. The objectives include reviewing underlying neurophysiological mechanisms, therapeutic techniques, and clinical evidence supporting physiotherapy in chronic pain management. </w:t>
                            </w:r>
                            <w:r w:rsidRPr="00A85231">
                              <w:rPr>
                                <w:rStyle w:val="Strong"/>
                                <w:rFonts w:ascii="Times New Roman" w:hAnsi="Times New Roman" w:cs="Times New Roman"/>
                                <w:sz w:val="20"/>
                              </w:rPr>
                              <w:t>Methodology:</w:t>
                            </w:r>
                            <w:r w:rsidRPr="00A85231">
                              <w:rPr>
                                <w:rFonts w:ascii="Times New Roman" w:hAnsi="Times New Roman" w:cs="Times New Roman"/>
                                <w:sz w:val="20"/>
                              </w:rPr>
                              <w:t xml:space="preserve">A literature review was conducted using PubMed, Scopus, and Web of Science, focusing on studies published between 2005 and 2025. Randomized controlled trials, systematic reviews, and mechanistic studies examining physiotherapy modalities—such as exercise therapy, manual therapy, transcutaneous electrical nerve stimulation (TENS), and therapeutic ultrasound—were analyzed. </w:t>
                            </w:r>
                            <w:r w:rsidRPr="00A85231">
                              <w:rPr>
                                <w:rStyle w:val="Strong"/>
                                <w:rFonts w:ascii="Times New Roman" w:hAnsi="Times New Roman" w:cs="Times New Roman"/>
                                <w:sz w:val="20"/>
                              </w:rPr>
                              <w:t xml:space="preserve">Results: </w:t>
                            </w:r>
                            <w:r w:rsidRPr="00A85231">
                              <w:rPr>
                                <w:rFonts w:ascii="Times New Roman" w:hAnsi="Times New Roman" w:cs="Times New Roman"/>
                                <w:sz w:val="20"/>
                              </w:rPr>
                              <w:t xml:space="preserve">Evidence suggests that physiotherapy alleviates pain through multiple mechanisms including modulation of nociceptive signaling, enhancement of endogenous opioid release, reduction of central sensitization, and improvement of musculoskeletal function. Interventions such as exercise therapy and TENS demonstrated significant reductions in pain intensity, improved mobility, and decreased reliance on pharmacological agents across diverse patient populations. </w:t>
                            </w:r>
                            <w:r w:rsidRPr="00A85231">
                              <w:rPr>
                                <w:rStyle w:val="Strong"/>
                                <w:rFonts w:ascii="Times New Roman" w:hAnsi="Times New Roman" w:cs="Times New Roman"/>
                                <w:sz w:val="20"/>
                              </w:rPr>
                              <w:t xml:space="preserve">Conclusion: </w:t>
                            </w:r>
                            <w:r w:rsidRPr="00A85231">
                              <w:rPr>
                                <w:rFonts w:ascii="Times New Roman" w:hAnsi="Times New Roman" w:cs="Times New Roman"/>
                                <w:sz w:val="20"/>
                              </w:rPr>
                              <w:t>Physiotherapy offers a safe, effective, and mechanistically validated non-pharmacological strategy for chronic pain management. By targeting neural, muscular, and psychosocial components of pain, physiotherapy serves as a vital adjunct or alternative to pharmacological treatments, promoting long-term functional recovery and enhanced quality of life.</w:t>
                            </w:r>
                          </w:p>
                          <w:p w14:paraId="3959E986" w14:textId="657C4CF3" w:rsidR="00E9797E" w:rsidRPr="00A85231" w:rsidRDefault="00E9797E" w:rsidP="00A85231">
                            <w:pPr>
                              <w:spacing w:after="200" w:line="240" w:lineRule="auto"/>
                              <w:jc w:val="both"/>
                              <w:rPr>
                                <w:rFonts w:ascii="Times New Roman" w:hAnsi="Times New Roman" w:cs="Times New Roman"/>
                                <w:b/>
                                <w:color w:val="231F20"/>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F7CDD" id="_x0000_t202" coordsize="21600,21600" o:spt="202" path="m,l,21600r21600,l21600,xe">
                <v:stroke joinstyle="miter"/>
                <v:path gradientshapeok="t" o:connecttype="rect"/>
              </v:shapetype>
              <v:shape id="Text Box 9" o:spid="_x0000_s1026" type="#_x0000_t202" style="position:absolute;left:0;text-align:left;margin-left:-36.5pt;margin-top:23.05pt;width:321pt;height:289.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" fillcolor="#d1d2d3" stroked="f">
                <v:textbox inset="0,0,0,0">
                  <w:txbxContent>
                    <w:p w14:paraId="3F102B15" w14:textId="77777777" w:rsidR="00C07592" w:rsidRPr="00A85231" w:rsidRDefault="00E9797E" w:rsidP="00A85231">
                      <w:pPr>
                        <w:spacing w:before="100" w:beforeAutospacing="1" w:after="100" w:afterAutospacing="1" w:line="240" w:lineRule="auto"/>
                        <w:jc w:val="both"/>
                        <w:rPr>
                          <w:rFonts w:ascii="Times New Roman" w:eastAsia="Times New Roman" w:hAnsi="Times New Roman" w:cs="Times New Roman"/>
                          <w:b/>
                          <w:bCs/>
                          <w:kern w:val="0"/>
                          <w:sz w:val="20"/>
                          <w:lang w:bidi="ar-SA"/>
                          <w14:ligatures w14:val="none"/>
                        </w:rPr>
                      </w:pPr>
                      <w:r w:rsidRPr="00A85231">
                        <w:rPr>
                          <w:rFonts w:ascii="Times New Roman" w:eastAsia="Times New Roman" w:hAnsi="Times New Roman" w:cs="Times New Roman"/>
                          <w:b/>
                          <w:bCs/>
                          <w:kern w:val="0"/>
                          <w:sz w:val="20"/>
                          <w:lang w:bidi="ar-SA"/>
                          <w14:ligatures w14:val="none"/>
                        </w:rPr>
                        <w:t>Abstract</w:t>
                      </w:r>
                    </w:p>
                    <w:p w14:paraId="0ED53117" w14:textId="77777777" w:rsidR="00A85231" w:rsidRPr="00A85231" w:rsidRDefault="00A85231" w:rsidP="00A85231">
                      <w:pPr>
                        <w:spacing w:before="315" w:after="105" w:line="240" w:lineRule="auto"/>
                        <w:ind w:left="-30"/>
                        <w:jc w:val="both"/>
                        <w:rPr>
                          <w:rFonts w:ascii="Times New Roman" w:hAnsi="Times New Roman" w:cs="Times New Roman"/>
                          <w:sz w:val="20"/>
                        </w:rPr>
                      </w:pPr>
                      <w:r w:rsidRPr="00A85231">
                        <w:rPr>
                          <w:rStyle w:val="Strong"/>
                          <w:rFonts w:ascii="Times New Roman" w:hAnsi="Times New Roman" w:cs="Times New Roman"/>
                          <w:sz w:val="20"/>
                        </w:rPr>
                        <w:t xml:space="preserve">Aim and Objectives: </w:t>
                      </w:r>
                      <w:r w:rsidRPr="00A85231">
                        <w:rPr>
                          <w:rFonts w:ascii="Times New Roman" w:hAnsi="Times New Roman" w:cs="Times New Roman"/>
                          <w:sz w:val="20"/>
                        </w:rPr>
                        <w:t xml:space="preserve">This study aims to evaluate the role of physiotherapy in pain modulation and to provide mechanistic insights into non-pharmacological interventions that complement or substitute pharmacologic therapies. The objectives include reviewing underlying neurophysiological mechanisms, therapeutic techniques, and clinical evidence supporting physiotherapy in chronic pain management. </w:t>
                      </w:r>
                      <w:r w:rsidRPr="00A85231">
                        <w:rPr>
                          <w:rStyle w:val="Strong"/>
                          <w:rFonts w:ascii="Times New Roman" w:hAnsi="Times New Roman" w:cs="Times New Roman"/>
                          <w:sz w:val="20"/>
                        </w:rPr>
                        <w:t>Methodology:</w:t>
                      </w:r>
                      <w:r w:rsidRPr="00A85231">
                        <w:rPr>
                          <w:rFonts w:ascii="Times New Roman" w:hAnsi="Times New Roman" w:cs="Times New Roman"/>
                          <w:sz w:val="20"/>
                        </w:rPr>
                        <w:t xml:space="preserve">A literature review was conducted using PubMed, Scopus, and Web of Science, focusing on studies published between 2005 and 2025. Randomized controlled trials, systematic reviews, and mechanistic studies examining physiotherapy modalities—such as exercise therapy, manual therapy, transcutaneous electrical nerve stimulation (TENS), and therapeutic ultrasound—were analyzed. </w:t>
                      </w:r>
                      <w:r w:rsidRPr="00A85231">
                        <w:rPr>
                          <w:rStyle w:val="Strong"/>
                          <w:rFonts w:ascii="Times New Roman" w:hAnsi="Times New Roman" w:cs="Times New Roman"/>
                          <w:sz w:val="20"/>
                        </w:rPr>
                        <w:t xml:space="preserve">Results: </w:t>
                      </w:r>
                      <w:r w:rsidRPr="00A85231">
                        <w:rPr>
                          <w:rFonts w:ascii="Times New Roman" w:hAnsi="Times New Roman" w:cs="Times New Roman"/>
                          <w:sz w:val="20"/>
                        </w:rPr>
                        <w:t xml:space="preserve">Evidence suggests that physiotherapy alleviates pain through multiple mechanisms including modulation of nociceptive signaling, enhancement of endogenous opioid release, reduction of central sensitization, and improvement of musculoskeletal function. Interventions such as exercise therapy and TENS demonstrated significant reductions in pain intensity, improved mobility, and decreased reliance on pharmacological agents across diverse patient populations. </w:t>
                      </w:r>
                      <w:r w:rsidRPr="00A85231">
                        <w:rPr>
                          <w:rStyle w:val="Strong"/>
                          <w:rFonts w:ascii="Times New Roman" w:hAnsi="Times New Roman" w:cs="Times New Roman"/>
                          <w:sz w:val="20"/>
                        </w:rPr>
                        <w:t xml:space="preserve">Conclusion: </w:t>
                      </w:r>
                      <w:r w:rsidRPr="00A85231">
                        <w:rPr>
                          <w:rFonts w:ascii="Times New Roman" w:hAnsi="Times New Roman" w:cs="Times New Roman"/>
                          <w:sz w:val="20"/>
                        </w:rPr>
                        <w:t>Physiotherapy offers a safe, effective, and mechanistically validated non-pharmacological strategy for chronic pain management. By targeting neural, muscular, and psychosocial components of pain, physiotherapy serves as a vital adjunct or alternative to pharmacological treatments, promoting long-term functional recovery and enhanced quality of life.</w:t>
                      </w:r>
                    </w:p>
                    <w:p w14:paraId="3959E986" w14:textId="657C4CF3" w:rsidR="00E9797E" w:rsidRPr="00A85231" w:rsidRDefault="00E9797E" w:rsidP="00A85231">
                      <w:pPr>
                        <w:spacing w:after="200" w:line="240" w:lineRule="auto"/>
                        <w:jc w:val="both"/>
                        <w:rPr>
                          <w:rFonts w:ascii="Times New Roman" w:hAnsi="Times New Roman" w:cs="Times New Roman"/>
                          <w:b/>
                          <w:color w:val="231F20"/>
                          <w:sz w:val="20"/>
                        </w:rPr>
                      </w:pPr>
                    </w:p>
                  </w:txbxContent>
                </v:textbox>
                <w10:wrap type="topAndBottom" anchorx="margin"/>
              </v:shape>
            </w:pict>
          </mc:Fallback>
        </mc:AlternateContent>
      </w:r>
    </w:p>
    <w:p w14:paraId="0A113DA6" w14:textId="706E608F" w:rsidR="00D21D42" w:rsidRDefault="00D21D42" w:rsidP="00BD41D6">
      <w:pPr>
        <w:spacing w:after="0" w:line="240" w:lineRule="auto"/>
        <w:ind w:right="445"/>
        <w:jc w:val="both"/>
        <w:rPr>
          <w:sz w:val="20"/>
        </w:rPr>
      </w:pPr>
    </w:p>
    <w:p w14:paraId="48BF6B8C" w14:textId="77777777" w:rsidR="00AB551B" w:rsidRPr="00AB551B" w:rsidRDefault="00AB551B" w:rsidP="00AB551B">
      <w:pPr>
        <w:numPr>
          <w:ilvl w:val="0"/>
          <w:numId w:val="125"/>
        </w:numPr>
        <w:spacing w:after="210" w:line="276" w:lineRule="auto"/>
        <w:jc w:val="both"/>
        <w:rPr>
          <w:rFonts w:ascii="Times New Roman" w:hAnsi="Times New Roman" w:cs="Times New Roman"/>
          <w:b/>
          <w:bCs/>
          <w:sz w:val="24"/>
          <w:szCs w:val="24"/>
          <w:lang w:val="en-IN"/>
        </w:rPr>
      </w:pPr>
      <w:r w:rsidRPr="00AB551B">
        <w:rPr>
          <w:rFonts w:ascii="Times New Roman" w:hAnsi="Times New Roman" w:cs="Times New Roman"/>
          <w:b/>
          <w:bCs/>
          <w:sz w:val="24"/>
          <w:szCs w:val="24"/>
        </w:rPr>
        <w:t>Introduction</w:t>
      </w:r>
    </w:p>
    <w:p w14:paraId="728DBF62"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Chronic pain is a widespread and debilitating condition, affecting a significant portion of the global population</w:t>
      </w:r>
      <w:r w:rsidRPr="00AB551B">
        <w:rPr>
          <w:rFonts w:ascii="Times New Roman" w:hAnsi="Times New Roman" w:cs="Times New Roman"/>
          <w:color w:val="000000" w:themeColor="text1"/>
          <w:sz w:val="24"/>
          <w:szCs w:val="24"/>
          <w:vertAlign w:val="superscript"/>
          <w:lang w:val="en-IN"/>
        </w:rPr>
        <w:t>1</w:t>
      </w:r>
      <w:r w:rsidRPr="00AB551B">
        <w:rPr>
          <w:rFonts w:ascii="Times New Roman" w:hAnsi="Times New Roman" w:cs="Times New Roman"/>
          <w:color w:val="000000" w:themeColor="text1"/>
          <w:sz w:val="24"/>
          <w:szCs w:val="24"/>
          <w:lang w:val="en-IN"/>
        </w:rPr>
        <w:t> . It not only diminishes the quality of life for those who suffer from it but also places a substantial economic burden on healthcare systems and society as a whole</w:t>
      </w:r>
      <w:r w:rsidRPr="00AB551B">
        <w:rPr>
          <w:rFonts w:ascii="Times New Roman" w:hAnsi="Times New Roman" w:cs="Times New Roman"/>
          <w:color w:val="000000" w:themeColor="text1"/>
          <w:sz w:val="24"/>
          <w:szCs w:val="24"/>
          <w:vertAlign w:val="superscript"/>
          <w:lang w:val="en-IN"/>
        </w:rPr>
        <w:t>2</w:t>
      </w:r>
      <w:r w:rsidRPr="00AB551B">
        <w:rPr>
          <w:rFonts w:ascii="Times New Roman" w:hAnsi="Times New Roman" w:cs="Times New Roman"/>
          <w:color w:val="000000" w:themeColor="text1"/>
          <w:sz w:val="24"/>
          <w:szCs w:val="24"/>
          <w:lang w:val="en-IN"/>
        </w:rPr>
        <w:t>. Chronic pain is often defined as pain that persists for more than three months or extends beyond the expected healing time</w:t>
      </w:r>
      <w:r w:rsidRPr="00AB551B">
        <w:rPr>
          <w:rFonts w:ascii="Times New Roman" w:hAnsi="Times New Roman" w:cs="Times New Roman"/>
          <w:color w:val="000000" w:themeColor="text1"/>
          <w:sz w:val="24"/>
          <w:szCs w:val="24"/>
          <w:vertAlign w:val="superscript"/>
          <w:lang w:val="en-IN"/>
        </w:rPr>
        <w:t>3</w:t>
      </w:r>
      <w:r w:rsidRPr="00AB551B">
        <w:rPr>
          <w:rFonts w:ascii="Times New Roman" w:hAnsi="Times New Roman" w:cs="Times New Roman"/>
          <w:color w:val="000000" w:themeColor="text1"/>
          <w:sz w:val="24"/>
          <w:szCs w:val="24"/>
          <w:lang w:val="en-IN"/>
        </w:rPr>
        <w:t>.</w:t>
      </w:r>
      <w:r w:rsidRPr="00AB551B">
        <w:rPr>
          <w:rStyle w:val="Hyperlink"/>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This prolonged duration can lead to significant physical and psychological distress, impacting daily activities, work productivity, and social relationships</w:t>
      </w:r>
      <w:r w:rsidRPr="00AB551B">
        <w:rPr>
          <w:rFonts w:ascii="Times New Roman" w:hAnsi="Times New Roman" w:cs="Times New Roman"/>
          <w:color w:val="000000" w:themeColor="text1"/>
          <w:sz w:val="24"/>
          <w:szCs w:val="24"/>
          <w:vertAlign w:val="superscript"/>
          <w:lang w:val="en-IN"/>
        </w:rPr>
        <w:t>4,5</w:t>
      </w:r>
      <w:r w:rsidRPr="00AB551B">
        <w:rPr>
          <w:rFonts w:ascii="Times New Roman" w:hAnsi="Times New Roman" w:cs="Times New Roman"/>
          <w:color w:val="000000" w:themeColor="text1"/>
          <w:sz w:val="24"/>
          <w:szCs w:val="24"/>
          <w:lang w:val="en-IN"/>
        </w:rPr>
        <w:t xml:space="preserve">. The complexity of </w:t>
      </w:r>
      <w:r w:rsidRPr="00AB551B">
        <w:rPr>
          <w:rFonts w:ascii="Times New Roman" w:hAnsi="Times New Roman" w:cs="Times New Roman"/>
          <w:color w:val="000000" w:themeColor="text1"/>
          <w:sz w:val="24"/>
          <w:szCs w:val="24"/>
          <w:lang w:val="en-IN"/>
        </w:rPr>
        <w:lastRenderedPageBreak/>
        <w:t>chronic pain necessitates a comprehensive and multidisciplinary approach to management, moving beyond traditional pharmacological interventions.</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Pharmacological treatments, particularly opioids, have long been a mainstay in chronic pain management</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However, their effectiveness is often limited, and their use is associated with a range of adverse effects, including the risk of analgesic misuse and dependence</w:t>
      </w:r>
      <w:r w:rsidRPr="00AB551B">
        <w:rPr>
          <w:rFonts w:ascii="Times New Roman" w:hAnsi="Times New Roman" w:cs="Times New Roman"/>
          <w:color w:val="000000" w:themeColor="text1"/>
          <w:sz w:val="24"/>
          <w:szCs w:val="24"/>
          <w:vertAlign w:val="superscript"/>
          <w:lang w:val="en-IN"/>
        </w:rPr>
        <w:t>7</w:t>
      </w:r>
      <w:r w:rsidRPr="00AB551B">
        <w:rPr>
          <w:rFonts w:ascii="Times New Roman" w:hAnsi="Times New Roman" w:cs="Times New Roman"/>
          <w:color w:val="000000" w:themeColor="text1"/>
          <w:sz w:val="24"/>
          <w:szCs w:val="24"/>
          <w:lang w:val="en-IN"/>
        </w:rPr>
        <w:t>. The CDC has issued guidelines emphasizing the importance of careful consideration of the benefits and risks of opioid therapy, highlighting the need for alternative approaches</w:t>
      </w:r>
      <w:r w:rsidRPr="00AB551B">
        <w:rPr>
          <w:rFonts w:ascii="Times New Roman" w:hAnsi="Times New Roman" w:cs="Times New Roman"/>
          <w:color w:val="000000" w:themeColor="text1"/>
          <w:sz w:val="24"/>
          <w:szCs w:val="24"/>
          <w:vertAlign w:val="superscript"/>
          <w:lang w:val="en-IN"/>
        </w:rPr>
        <w:t>8</w:t>
      </w:r>
      <w:r w:rsidRPr="00AB551B">
        <w:rPr>
          <w:rFonts w:ascii="Times New Roman" w:hAnsi="Times New Roman" w:cs="Times New Roman"/>
          <w:color w:val="000000" w:themeColor="text1"/>
          <w:sz w:val="24"/>
          <w:szCs w:val="24"/>
          <w:lang w:val="en-IN"/>
        </w:rPr>
        <w:t>. The limitations and potential dangers of long-term opioid use have spurred increased interest in non-pharmacological interventions for chronic pain management</w:t>
      </w:r>
      <w:r w:rsidRPr="00AB551B">
        <w:rPr>
          <w:rFonts w:ascii="Times New Roman" w:hAnsi="Times New Roman" w:cs="Times New Roman"/>
          <w:color w:val="000000" w:themeColor="text1"/>
          <w:sz w:val="24"/>
          <w:szCs w:val="24"/>
          <w:vertAlign w:val="superscript"/>
          <w:lang w:val="en-IN"/>
        </w:rPr>
        <w:t>9</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Non-invasive non-pharmacological therapies (NINPT) encompass a diverse array of interventions, including physical, psychological, complementary, and alternative approaches. These therapies offer analgesic options for chronic pain without the use of medications, addressing the limitations and risks associated with pharmacological treatments. NINPTs aim to restore normal pain processing and limit central sensitization by leveraging peripheral, spinal, and supraspinal mechanisms. </w:t>
      </w:r>
    </w:p>
    <w:p w14:paraId="27C11A2E" w14:textId="3010D43D"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The integration of non-pharmacological interventions into contemporary pain management paradigms is essential for improving patient care and outcomes . These interventions can be used as standalone treatments or in combination with pharmacological approaches to provide a more holistic and patient-centered approach to pain managemen</w:t>
      </w:r>
      <w:r w:rsidRPr="00AB551B">
        <w:rPr>
          <w:rFonts w:ascii="Times New Roman" w:hAnsi="Times New Roman" w:cs="Times New Roman"/>
          <w:color w:val="000000" w:themeColor="text1"/>
          <w:sz w:val="24"/>
          <w:szCs w:val="24"/>
        </w:rPr>
        <w:t xml:space="preserve">t. </w:t>
      </w:r>
      <w:r w:rsidRPr="00AB551B">
        <w:rPr>
          <w:rFonts w:ascii="Times New Roman" w:hAnsi="Times New Roman" w:cs="Times New Roman"/>
          <w:color w:val="000000" w:themeColor="text1"/>
          <w:sz w:val="24"/>
          <w:szCs w:val="24"/>
          <w:lang w:val="en-IN"/>
        </w:rPr>
        <w:t>By addressing the biological, psychological, and social dimensions of chronic pain, NINPTs offer a comprehensive strategy for improving patients' quality of life and overall well-being</w:t>
      </w:r>
      <w:r w:rsidRPr="00AB551B">
        <w:rPr>
          <w:rFonts w:ascii="Times New Roman" w:hAnsi="Times New Roman" w:cs="Times New Roman"/>
          <w:color w:val="000000" w:themeColor="text1"/>
          <w:sz w:val="24"/>
          <w:szCs w:val="24"/>
          <w:vertAlign w:val="superscript"/>
          <w:lang w:val="en-IN"/>
        </w:rPr>
        <w:t>11</w:t>
      </w:r>
      <w:r w:rsidRPr="00AB551B">
        <w:rPr>
          <w:rFonts w:ascii="Times New Roman" w:hAnsi="Times New Roman" w:cs="Times New Roman"/>
          <w:color w:val="000000" w:themeColor="text1"/>
          <w:sz w:val="24"/>
          <w:szCs w:val="24"/>
          <w:lang w:val="en-IN"/>
        </w:rPr>
        <w:t>.</w:t>
      </w:r>
    </w:p>
    <w:p w14:paraId="36162B88" w14:textId="77777777" w:rsidR="00AB551B" w:rsidRPr="00AB551B" w:rsidRDefault="00AB551B" w:rsidP="00AB551B">
      <w:pPr>
        <w:spacing w:after="210" w:line="276" w:lineRule="auto"/>
        <w:jc w:val="both"/>
        <w:rPr>
          <w:rFonts w:ascii="Times New Roman" w:hAnsi="Times New Roman" w:cs="Times New Roman"/>
          <w:b/>
          <w:bCs/>
          <w:sz w:val="24"/>
          <w:szCs w:val="24"/>
          <w:lang w:val="en-IN"/>
        </w:rPr>
      </w:pPr>
      <w:r w:rsidRPr="00AB551B">
        <w:rPr>
          <w:rFonts w:ascii="Times New Roman" w:hAnsi="Times New Roman" w:cs="Times New Roman"/>
          <w:b/>
          <w:bCs/>
          <w:sz w:val="24"/>
          <w:szCs w:val="24"/>
          <w:lang w:val="en-IN"/>
        </w:rPr>
        <w:t>2. Mechanisms of Pain: Biological and Psychosocial Dimensions</w:t>
      </w:r>
    </w:p>
    <w:p w14:paraId="0B90CB90"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Understanding the intricate mechanisms of pain processing is crucial for developing effective treatment strategies. Pain signals are transmitted through a complex network of central and peripheral pathways, involving various structures and neurotransmitters. The peripheral nervous system plays a critical role in detecting and transmitting noxious stimuli to the central nervous system, where the signals are further processed and interpreted</w:t>
      </w:r>
      <w:r w:rsidRPr="00AB551B">
        <w:rPr>
          <w:rFonts w:ascii="Times New Roman" w:hAnsi="Times New Roman" w:cs="Times New Roman"/>
          <w:color w:val="000000" w:themeColor="text1"/>
          <w:sz w:val="24"/>
          <w:szCs w:val="24"/>
          <w:vertAlign w:val="superscript"/>
          <w:lang w:val="en-IN"/>
        </w:rPr>
        <w:t>13</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Nociceptors, specialized sensory neurons located in the skin, muscles, and other tissues, are responsible for detecting potentially harmful stimuli, such as heat, pressure, and chemicals .When activated, nociceptors send electrical signals along peripheral nerves to the spinal cord. Within the spinal cord, these signals are relayed to the brain via ascending pathways, including the spinothalamic tract</w:t>
      </w:r>
      <w:r w:rsidRPr="00AB551B">
        <w:rPr>
          <w:rFonts w:ascii="Times New Roman" w:hAnsi="Times New Roman" w:cs="Times New Roman"/>
          <w:color w:val="000000" w:themeColor="text1"/>
          <w:sz w:val="24"/>
          <w:szCs w:val="24"/>
          <w:vertAlign w:val="superscript"/>
          <w:lang w:val="en-IN"/>
        </w:rPr>
        <w:t>12</w:t>
      </w:r>
      <w:r w:rsidRPr="00AB551B">
        <w:rPr>
          <w:rFonts w:ascii="Times New Roman" w:hAnsi="Times New Roman" w:cs="Times New Roman"/>
          <w:color w:val="000000" w:themeColor="text1"/>
          <w:sz w:val="24"/>
          <w:szCs w:val="24"/>
          <w:lang w:val="en-IN"/>
        </w:rPr>
        <w:t>. The brain then processes these signals, resulting in the subjective experience of pain.</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Central sensitization, a key mechanism in chronic pain, involves the amplification of pain signals within the central nervous system</w:t>
      </w:r>
      <w:r w:rsidRPr="00AB551B">
        <w:rPr>
          <w:rFonts w:ascii="Times New Roman" w:hAnsi="Times New Roman" w:cs="Times New Roman"/>
          <w:color w:val="000000" w:themeColor="text1"/>
          <w:sz w:val="24"/>
          <w:szCs w:val="24"/>
          <w:vertAlign w:val="superscript"/>
          <w:lang w:val="en-IN"/>
        </w:rPr>
        <w:t>14</w:t>
      </w:r>
      <w:r w:rsidRPr="00AB551B">
        <w:rPr>
          <w:rFonts w:ascii="Times New Roman" w:hAnsi="Times New Roman" w:cs="Times New Roman"/>
          <w:color w:val="000000" w:themeColor="text1"/>
          <w:sz w:val="24"/>
          <w:szCs w:val="24"/>
          <w:lang w:val="en-IN"/>
        </w:rPr>
        <w:t>. This process leads to an increased sensitivity to pain, where even normally non-painful stimuli can trigger pain</w:t>
      </w:r>
      <w:r w:rsidRPr="00AB551B">
        <w:rPr>
          <w:rFonts w:ascii="Times New Roman" w:hAnsi="Times New Roman" w:cs="Times New Roman"/>
          <w:color w:val="000000" w:themeColor="text1"/>
          <w:sz w:val="24"/>
          <w:szCs w:val="24"/>
          <w:vertAlign w:val="superscript"/>
          <w:lang w:val="en-IN"/>
        </w:rPr>
        <w:t>15</w:t>
      </w:r>
      <w:r w:rsidRPr="00AB551B">
        <w:rPr>
          <w:rFonts w:ascii="Times New Roman" w:hAnsi="Times New Roman" w:cs="Times New Roman"/>
          <w:color w:val="000000" w:themeColor="text1"/>
          <w:sz w:val="24"/>
          <w:szCs w:val="24"/>
          <w:lang w:val="en-IN"/>
        </w:rPr>
        <w:t> . Central sensitization is characterized by alterations in neuronal excitability, synaptic plasticity, and the release of pro-inflammatory mediators within the spinal cord and brain</w:t>
      </w:r>
      <w:r w:rsidRPr="00AB551B">
        <w:rPr>
          <w:rFonts w:ascii="Times New Roman" w:hAnsi="Times New Roman" w:cs="Times New Roman"/>
          <w:color w:val="000000" w:themeColor="text1"/>
          <w:sz w:val="24"/>
          <w:szCs w:val="24"/>
          <w:vertAlign w:val="superscript"/>
          <w:lang w:val="en-IN"/>
        </w:rPr>
        <w:t>16</w:t>
      </w:r>
      <w:r w:rsidRPr="00AB551B">
        <w:rPr>
          <w:rFonts w:ascii="Times New Roman" w:hAnsi="Times New Roman" w:cs="Times New Roman"/>
          <w:color w:val="000000" w:themeColor="text1"/>
          <w:sz w:val="24"/>
          <w:szCs w:val="24"/>
          <w:lang w:val="en-IN"/>
        </w:rPr>
        <w:t>.</w:t>
      </w:r>
    </w:p>
    <w:p w14:paraId="4CDE0DE8"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The biopsychosocial model (BPS) provides a comprehensive framework for understanding chronic pain, recognizing the interplay of biological, psychological, and social factors in the pain experience</w:t>
      </w:r>
      <w:r w:rsidRPr="00AB551B">
        <w:rPr>
          <w:rFonts w:ascii="Times New Roman" w:hAnsi="Times New Roman" w:cs="Times New Roman"/>
          <w:color w:val="000000" w:themeColor="text1"/>
          <w:sz w:val="24"/>
          <w:szCs w:val="24"/>
          <w:vertAlign w:val="superscript"/>
          <w:lang w:val="en-IN"/>
        </w:rPr>
        <w:t>2,11</w:t>
      </w:r>
      <w:r w:rsidRPr="00AB551B">
        <w:rPr>
          <w:rFonts w:ascii="Times New Roman" w:hAnsi="Times New Roman" w:cs="Times New Roman"/>
          <w:color w:val="000000" w:themeColor="text1"/>
          <w:sz w:val="24"/>
          <w:szCs w:val="24"/>
          <w:lang w:val="en-IN"/>
        </w:rPr>
        <w:t xml:space="preserve"> . This model emphasizes that pain is not solely a result of tissue damage or physiological dysfunction but is also influenced by psychological factors such as mood, beliefs, </w:t>
      </w:r>
      <w:r w:rsidRPr="00AB551B">
        <w:rPr>
          <w:rFonts w:ascii="Times New Roman" w:hAnsi="Times New Roman" w:cs="Times New Roman"/>
          <w:color w:val="000000" w:themeColor="text1"/>
          <w:sz w:val="24"/>
          <w:szCs w:val="24"/>
          <w:lang w:val="en-IN"/>
        </w:rPr>
        <w:lastRenderedPageBreak/>
        <w:t>and coping strategies, as well as social factors such as social support and cultural norms</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The International Association for the Study of Pain (IASP) has introduced the term "nociplastic pain" to describe pain arising from altered nociception without clear evidence of actual or threatened tissue damage</w:t>
      </w:r>
      <w:r w:rsidRPr="00AB551B">
        <w:rPr>
          <w:rFonts w:ascii="Times New Roman" w:hAnsi="Times New Roman" w:cs="Times New Roman"/>
          <w:color w:val="000000" w:themeColor="text1"/>
          <w:sz w:val="24"/>
          <w:szCs w:val="24"/>
          <w:vertAlign w:val="superscript"/>
          <w:lang w:val="en-IN"/>
        </w:rPr>
        <w:t>15</w:t>
      </w:r>
      <w:r w:rsidRPr="00AB551B">
        <w:rPr>
          <w:rFonts w:ascii="Times New Roman" w:hAnsi="Times New Roman" w:cs="Times New Roman"/>
          <w:color w:val="000000" w:themeColor="text1"/>
          <w:sz w:val="24"/>
          <w:szCs w:val="24"/>
          <w:lang w:val="en-IN"/>
        </w:rPr>
        <w:t>. This classification acknowledges that some chronic pain conditions are better understood as diseases in their own right, rather than merely symptoms of other underlying pathologies. The biopsychosocial model aligns with this understanding, recognizing the complex interplay of factors contributing to the chronic pain experience</w:t>
      </w:r>
      <w:r w:rsidRPr="00AB551B">
        <w:rPr>
          <w:rFonts w:ascii="Times New Roman" w:hAnsi="Times New Roman" w:cs="Times New Roman"/>
          <w:color w:val="000000" w:themeColor="text1"/>
          <w:sz w:val="24"/>
          <w:szCs w:val="24"/>
          <w:vertAlign w:val="superscript"/>
          <w:lang w:val="en-IN"/>
        </w:rPr>
        <w:t>11</w:t>
      </w:r>
      <w:r w:rsidRPr="00AB551B">
        <w:rPr>
          <w:rFonts w:ascii="Times New Roman" w:hAnsi="Times New Roman" w:cs="Times New Roman"/>
          <w:color w:val="000000" w:themeColor="text1"/>
          <w:sz w:val="24"/>
          <w:szCs w:val="24"/>
          <w:lang w:val="en-IN"/>
        </w:rPr>
        <w:t>.</w:t>
      </w:r>
    </w:p>
    <w:p w14:paraId="7DC858C4" w14:textId="77777777" w:rsidR="00AB551B" w:rsidRPr="00AB551B" w:rsidRDefault="00AB551B" w:rsidP="00AB551B">
      <w:pPr>
        <w:spacing w:after="210" w:line="276" w:lineRule="auto"/>
        <w:jc w:val="both"/>
        <w:rPr>
          <w:rFonts w:ascii="Times New Roman" w:hAnsi="Times New Roman" w:cs="Times New Roman"/>
          <w:sz w:val="24"/>
          <w:szCs w:val="24"/>
          <w:lang w:val="en-IN"/>
        </w:rPr>
      </w:pPr>
      <w:r w:rsidRPr="00AB551B">
        <w:rPr>
          <w:rFonts w:ascii="Times New Roman" w:hAnsi="Times New Roman" w:cs="Times New Roman"/>
          <w:color w:val="000000" w:themeColor="text1"/>
          <w:sz w:val="24"/>
          <w:szCs w:val="24"/>
          <w:lang w:val="en-IN"/>
        </w:rPr>
        <w:t>Psychological factors, such as anxiety, depression, and stress, can significantly influence the perception and experience of pain</w:t>
      </w:r>
      <w:r w:rsidRPr="00AB551B">
        <w:rPr>
          <w:rFonts w:ascii="Times New Roman" w:hAnsi="Times New Roman" w:cs="Times New Roman"/>
          <w:color w:val="000000" w:themeColor="text1"/>
          <w:sz w:val="24"/>
          <w:szCs w:val="24"/>
          <w:vertAlign w:val="superscript"/>
          <w:lang w:val="en-IN"/>
        </w:rPr>
        <w:t>12,17</w:t>
      </w:r>
      <w:r w:rsidRPr="00AB551B">
        <w:rPr>
          <w:rFonts w:ascii="Times New Roman" w:hAnsi="Times New Roman" w:cs="Times New Roman"/>
          <w:color w:val="000000" w:themeColor="text1"/>
          <w:sz w:val="24"/>
          <w:szCs w:val="24"/>
          <w:lang w:val="en-IN"/>
        </w:rPr>
        <w:t>. Emotional states can modulate pain pathways in the brain, either amplifying or attenuating pain signals</w:t>
      </w:r>
      <w:r w:rsidRPr="00AB551B">
        <w:rPr>
          <w:rFonts w:ascii="Times New Roman" w:hAnsi="Times New Roman" w:cs="Times New Roman"/>
          <w:color w:val="000000" w:themeColor="text1"/>
          <w:sz w:val="24"/>
          <w:szCs w:val="24"/>
          <w:vertAlign w:val="superscript"/>
          <w:lang w:val="en-IN"/>
        </w:rPr>
        <w:t>18</w:t>
      </w:r>
      <w:r w:rsidRPr="00AB551B">
        <w:rPr>
          <w:rFonts w:ascii="Times New Roman" w:hAnsi="Times New Roman" w:cs="Times New Roman"/>
          <w:color w:val="000000" w:themeColor="text1"/>
          <w:sz w:val="24"/>
          <w:szCs w:val="24"/>
          <w:lang w:val="en-IN"/>
        </w:rPr>
        <w:t>. Negative emotions, such as fear and catastrophizing, have been shown to exacerbate pain, while positive emotions and coping strategies can help to reduce pain</w:t>
      </w:r>
      <w:r w:rsidRPr="00AB551B">
        <w:rPr>
          <w:rFonts w:ascii="Times New Roman" w:hAnsi="Times New Roman" w:cs="Times New Roman"/>
          <w:color w:val="000000" w:themeColor="text1"/>
          <w:sz w:val="24"/>
          <w:szCs w:val="24"/>
          <w:vertAlign w:val="superscript"/>
          <w:lang w:val="en-IN"/>
        </w:rPr>
        <w:t>12</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The movement system, including muscle strength, flexibility, and motor control, also plays a crucial role in chronic pain</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Impaired movement patterns and muscle imbalances can contribute to pain and disability, while exercise and physical therapy can help to restore normal movement and reduce pain </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Physical activity and exercise can improve muscle strength and flexibility, reduce inflammation, and enhance overall physical function, leading to a reduction in pain</w:t>
      </w:r>
      <w:r w:rsidRPr="00AB551B">
        <w:rPr>
          <w:rFonts w:ascii="Times New Roman" w:hAnsi="Times New Roman" w:cs="Times New Roman"/>
          <w:color w:val="000000" w:themeColor="text1"/>
          <w:sz w:val="24"/>
          <w:szCs w:val="24"/>
          <w:vertAlign w:val="superscript"/>
          <w:lang w:val="en-IN"/>
        </w:rPr>
        <w:t>21,19</w:t>
      </w:r>
      <w:r w:rsidRPr="00AB551B">
        <w:rPr>
          <w:rFonts w:ascii="Times New Roman" w:hAnsi="Times New Roman" w:cs="Times New Roman"/>
          <w:sz w:val="24"/>
          <w:szCs w:val="24"/>
          <w:lang w:val="en-IN"/>
        </w:rPr>
        <w:t>.</w:t>
      </w:r>
    </w:p>
    <w:p w14:paraId="0A024F18" w14:textId="77777777" w:rsidR="00AB551B" w:rsidRPr="00AB551B" w:rsidRDefault="00AB551B" w:rsidP="00AB551B">
      <w:pPr>
        <w:spacing w:after="210" w:line="276" w:lineRule="auto"/>
        <w:jc w:val="both"/>
        <w:rPr>
          <w:rFonts w:ascii="Times New Roman" w:hAnsi="Times New Roman" w:cs="Times New Roman"/>
          <w:b/>
          <w:bCs/>
          <w:sz w:val="24"/>
          <w:szCs w:val="24"/>
          <w:lang w:val="en-IN"/>
        </w:rPr>
      </w:pPr>
      <w:r w:rsidRPr="00AB551B">
        <w:rPr>
          <w:rFonts w:ascii="Times New Roman" w:hAnsi="Times New Roman" w:cs="Times New Roman"/>
          <w:b/>
          <w:bCs/>
          <w:sz w:val="24"/>
          <w:szCs w:val="24"/>
          <w:lang w:val="en-IN"/>
        </w:rPr>
        <w:t>3. Principle Non-Pharmacological Interventions in Physiotherapy</w:t>
      </w:r>
    </w:p>
    <w:p w14:paraId="15A0F0D0"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Exercise therapies are a cornerstone of non-pharmacological pain management, offering a range of benefits for individuals with chronic pain </w:t>
      </w:r>
      <w:hyperlink r:id="rId9" w:anchor="chunk_5596e938c0ffb7d7bb6a110f1c67935516368eb89f27175df5e0742537ed8613" w:history="1">
        <w:r w:rsidRPr="00AB551B">
          <w:rPr>
            <w:rStyle w:val="Hyperlink"/>
            <w:rFonts w:ascii="Times New Roman" w:hAnsi="Times New Roman" w:cs="Times New Roman"/>
            <w:color w:val="000000" w:themeColor="text1"/>
            <w:sz w:val="24"/>
            <w:szCs w:val="24"/>
            <w:lang w:val="en-IN"/>
          </w:rPr>
          <w:t>[21]</w:t>
        </w:r>
      </w:hyperlink>
      <w:r w:rsidRPr="00AB551B">
        <w:rPr>
          <w:rFonts w:ascii="Times New Roman" w:hAnsi="Times New Roman" w:cs="Times New Roman"/>
          <w:color w:val="000000" w:themeColor="text1"/>
          <w:sz w:val="24"/>
          <w:szCs w:val="24"/>
          <w:lang w:val="en-IN"/>
        </w:rPr>
        <w:t>, </w:t>
      </w:r>
      <w:hyperlink r:id="rId10" w:anchor="chunk_975ee28653878121364de61153233e11e34bb50174d0483ff02f85a66cd4e824" w:history="1">
        <w:r w:rsidRPr="00AB551B">
          <w:rPr>
            <w:rStyle w:val="Hyperlink"/>
            <w:rFonts w:ascii="Times New Roman" w:hAnsi="Times New Roman" w:cs="Times New Roman"/>
            <w:color w:val="000000" w:themeColor="text1"/>
            <w:sz w:val="24"/>
            <w:szCs w:val="24"/>
            <w:lang w:val="en-IN"/>
          </w:rPr>
          <w:t>[19]</w:t>
        </w:r>
      </w:hyperlink>
      <w:r w:rsidRPr="00AB551B">
        <w:rPr>
          <w:rFonts w:ascii="Times New Roman" w:hAnsi="Times New Roman" w:cs="Times New Roman"/>
          <w:color w:val="000000" w:themeColor="text1"/>
          <w:sz w:val="24"/>
          <w:szCs w:val="24"/>
          <w:lang w:val="en-IN"/>
        </w:rPr>
        <w:t>. Aerobic exercise, such as walking, cycling, and swimming, can improve cardiovascular health, reduce inflammation, and enhance overall physical function</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Strengthening exercises, including resistance training and weightlifting, can increase muscle strength and stability, improving support for joints and reducing pain</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Neuromuscular exercises, such as balance training and proprioceptive exercises, can improve motor control and coordination, reducing the risk of injury and pain</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Active physiotherapy (APT), which embraces a patient-centered approach, prioritizes self-management within the biopsychosocial model and involves active patient movements</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Beyond structured exercise, APT incorporates pain neuroscience education, Mulligan Mobilization (MWM), and active myofascial release techniques to integrate sensory-motor information for functional recovery and pain relief</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 A study comparing APT versus conventional physical therapy (CPT) on pain and functional outcomes in patients with chronic knee pain demonstrated that APT significantly improved most functional performance variables compared to CPT</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w:t>
      </w:r>
    </w:p>
    <w:p w14:paraId="5A430BAA"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Manual therapy techniques, including massage, stretching, and joint mobilization, are commonly used to address musculoskeletal pain and improve function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Massage therapy involves the manipulation of soft tissues to reduce muscle tension, improve circulation, and alleviate pain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Stretching exercises can increase flexibility and range of motion, reducing stiffness and improving overall movement</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Joint mobilization techniques involve the gentle movement of joints to restore normal joint mechanics and reduce pain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These manual therapy interventions aim to address musculoskeletal impairments, reduce pain, and improve overall physical function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xml:space="preserve">. By targeting specific tissues and joints, manual therapy can help to restore normal movement patterns, reduce </w:t>
      </w:r>
      <w:r w:rsidRPr="00AB551B">
        <w:rPr>
          <w:rFonts w:ascii="Times New Roman" w:hAnsi="Times New Roman" w:cs="Times New Roman"/>
          <w:color w:val="000000" w:themeColor="text1"/>
          <w:sz w:val="24"/>
          <w:szCs w:val="24"/>
          <w:lang w:val="en-IN"/>
        </w:rPr>
        <w:lastRenderedPageBreak/>
        <w:t>muscle tension, and alleviate pain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These techniques can be used in conjunction with exercise therapies to provide a comprehensive approach to pain management</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Modalities such as transcutaneous electrical nerve stimulation (TENS) and acupuncture are often used as adjuncts to other physiotherapy interventions for pain relief</w:t>
      </w:r>
      <w:r w:rsidRPr="00AB551B">
        <w:rPr>
          <w:rFonts w:ascii="Times New Roman" w:hAnsi="Times New Roman" w:cs="Times New Roman"/>
          <w:color w:val="000000" w:themeColor="text1"/>
          <w:sz w:val="24"/>
          <w:szCs w:val="24"/>
          <w:vertAlign w:val="superscript"/>
          <w:lang w:val="en-IN"/>
        </w:rPr>
        <w:t>22,23</w:t>
      </w:r>
      <w:r w:rsidRPr="00AB551B">
        <w:rPr>
          <w:rFonts w:ascii="Times New Roman" w:hAnsi="Times New Roman" w:cs="Times New Roman"/>
          <w:color w:val="000000" w:themeColor="text1"/>
          <w:sz w:val="24"/>
          <w:szCs w:val="24"/>
          <w:lang w:val="en-IN"/>
        </w:rPr>
        <w:t>. TENS involves the application of a mild electrical current to the skin via electrodes, which can help to reduce pain by stimulating nerve fibers and blocking pain signals</w:t>
      </w:r>
      <w:r w:rsidRPr="00AB551B">
        <w:rPr>
          <w:rFonts w:ascii="Times New Roman" w:hAnsi="Times New Roman" w:cs="Times New Roman"/>
          <w:color w:val="000000" w:themeColor="text1"/>
          <w:sz w:val="24"/>
          <w:szCs w:val="24"/>
          <w:vertAlign w:val="superscript"/>
          <w:lang w:val="en-IN"/>
        </w:rPr>
        <w:t>24</w:t>
      </w:r>
      <w:r w:rsidRPr="00AB551B">
        <w:rPr>
          <w:rFonts w:ascii="Times New Roman" w:hAnsi="Times New Roman" w:cs="Times New Roman"/>
          <w:color w:val="000000" w:themeColor="text1"/>
          <w:sz w:val="24"/>
          <w:szCs w:val="24"/>
          <w:lang w:val="en-IN"/>
        </w:rPr>
        <w:t>. Acupuncture involves the insertion of thin needles into specific points on the body, which can help to release endorphins and reduce pain</w:t>
      </w:r>
      <w:r w:rsidRPr="00AB551B">
        <w:rPr>
          <w:rFonts w:ascii="Times New Roman" w:hAnsi="Times New Roman" w:cs="Times New Roman"/>
          <w:color w:val="000000" w:themeColor="text1"/>
          <w:sz w:val="24"/>
          <w:szCs w:val="24"/>
          <w:vertAlign w:val="superscript"/>
          <w:lang w:val="en-IN"/>
        </w:rPr>
        <w:t>14</w:t>
      </w:r>
      <w:r w:rsidRPr="00AB551B">
        <w:rPr>
          <w:rFonts w:ascii="Times New Roman" w:hAnsi="Times New Roman" w:cs="Times New Roman"/>
          <w:color w:val="000000" w:themeColor="text1"/>
          <w:sz w:val="24"/>
          <w:szCs w:val="24"/>
          <w:lang w:val="en-IN"/>
        </w:rPr>
        <w:t>.</w:t>
      </w:r>
    </w:p>
    <w:p w14:paraId="59236A20"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While the mechanisms underlying the effectiveness of TENS and acupuncture are not fully understood, these modalities have been shown to provide pain relief for some individuals with chronic pain</w:t>
      </w:r>
      <w:r w:rsidRPr="00AB551B">
        <w:rPr>
          <w:rFonts w:ascii="Times New Roman" w:hAnsi="Times New Roman" w:cs="Times New Roman"/>
          <w:color w:val="000000" w:themeColor="text1"/>
          <w:sz w:val="24"/>
          <w:szCs w:val="24"/>
          <w:vertAlign w:val="superscript"/>
          <w:lang w:val="en-IN"/>
        </w:rPr>
        <w:t>22,23</w:t>
      </w:r>
      <w:r w:rsidRPr="00AB551B">
        <w:rPr>
          <w:rFonts w:ascii="Times New Roman" w:hAnsi="Times New Roman" w:cs="Times New Roman"/>
          <w:color w:val="000000" w:themeColor="text1"/>
          <w:sz w:val="24"/>
          <w:szCs w:val="24"/>
          <w:lang w:val="en-IN"/>
        </w:rPr>
        <w:t>. These modalities are often used in combination with other physiotherapy interventions, such as exercise and manual therapy, to provide a comprehensive approach to pain management</w:t>
      </w:r>
      <w:r w:rsidRPr="00AB551B">
        <w:rPr>
          <w:rFonts w:ascii="Times New Roman" w:hAnsi="Times New Roman" w:cs="Times New Roman"/>
          <w:color w:val="000000" w:themeColor="text1"/>
          <w:sz w:val="24"/>
          <w:szCs w:val="24"/>
          <w:vertAlign w:val="superscript"/>
          <w:lang w:val="en-IN"/>
        </w:rPr>
        <w:t>22</w:t>
      </w:r>
      <w:r w:rsidRPr="00AB551B">
        <w:rPr>
          <w:rFonts w:ascii="Times New Roman" w:hAnsi="Times New Roman" w:cs="Times New Roman"/>
          <w:color w:val="000000" w:themeColor="text1"/>
          <w:sz w:val="24"/>
          <w:szCs w:val="24"/>
          <w:lang w:val="en-IN"/>
        </w:rPr>
        <w:t>. TENS is a commonly used non-pharmacological intervention for the management of pain</w:t>
      </w:r>
      <w:r w:rsidRPr="00AB551B">
        <w:rPr>
          <w:rFonts w:ascii="Times New Roman" w:hAnsi="Times New Roman" w:cs="Times New Roman"/>
          <w:color w:val="000000" w:themeColor="text1"/>
          <w:sz w:val="24"/>
          <w:szCs w:val="24"/>
          <w:vertAlign w:val="superscript"/>
          <w:lang w:val="en-IN"/>
        </w:rPr>
        <w:t>24</w:t>
      </w:r>
      <w:r w:rsidRPr="00AB551B">
        <w:rPr>
          <w:rFonts w:ascii="Times New Roman" w:hAnsi="Times New Roman" w:cs="Times New Roman"/>
          <w:color w:val="000000" w:themeColor="text1"/>
          <w:sz w:val="24"/>
          <w:szCs w:val="24"/>
          <w:lang w:val="en-IN"/>
        </w:rPr>
        <w:t>.</w:t>
      </w:r>
    </w:p>
    <w:p w14:paraId="3EAB20A5" w14:textId="77777777" w:rsidR="00AB551B" w:rsidRPr="00AB551B" w:rsidRDefault="00AB551B" w:rsidP="00AB551B">
      <w:pPr>
        <w:spacing w:after="210" w:line="276" w:lineRule="auto"/>
        <w:jc w:val="both"/>
        <w:rPr>
          <w:rFonts w:ascii="Times New Roman" w:hAnsi="Times New Roman" w:cs="Times New Roman"/>
          <w:sz w:val="24"/>
          <w:szCs w:val="24"/>
          <w:lang w:val="en-IN"/>
        </w:rPr>
      </w:pPr>
      <w:r w:rsidRPr="00AB551B">
        <w:rPr>
          <w:rFonts w:ascii="Times New Roman" w:hAnsi="Times New Roman" w:cs="Times New Roman"/>
          <w:color w:val="000000" w:themeColor="text1"/>
          <w:sz w:val="24"/>
          <w:szCs w:val="24"/>
          <w:lang w:val="en-IN"/>
        </w:rPr>
        <w:t>Patient education and cognitive-behavioral approaches are essential components of non-pharmacological pain management, empowering patients to take an active role in their own care</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 Patient education involves providing individuals with information about their condition, treatment options, and self-management strategies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Cognitive-behavioral approaches, such as cognitive-behavioral therapy (CBT), aim to address psychological factors that contribute to pain, such as negative thoughts, emotions, and behaviors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CBT techniques can help individuals to identify and modify negative thought patterns, develop coping strategies for managing pain, and improve their overall psychological well-being</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By addressing the psychological and emotional aspects of pain, patient education and cognitive-behavioral approaches can help individuals to reduce pain, improve function, and enhance their quality of life</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These approaches are often integrated into multidisciplinary pain management programs to provide a holistic approach to care</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p>
    <w:p w14:paraId="46103DAC" w14:textId="77777777" w:rsidR="00AB551B" w:rsidRPr="00AB551B" w:rsidRDefault="00AB551B" w:rsidP="00AB551B">
      <w:pPr>
        <w:spacing w:after="210" w:line="276" w:lineRule="auto"/>
        <w:jc w:val="both"/>
        <w:rPr>
          <w:rFonts w:ascii="Times New Roman" w:hAnsi="Times New Roman" w:cs="Times New Roman"/>
          <w:b/>
          <w:bCs/>
          <w:sz w:val="24"/>
          <w:szCs w:val="24"/>
          <w:lang w:val="en-IN"/>
        </w:rPr>
      </w:pPr>
      <w:r w:rsidRPr="00AB551B">
        <w:rPr>
          <w:rFonts w:ascii="Times New Roman" w:hAnsi="Times New Roman" w:cs="Times New Roman"/>
          <w:b/>
          <w:bCs/>
          <w:sz w:val="24"/>
          <w:szCs w:val="24"/>
          <w:lang w:val="en-IN"/>
        </w:rPr>
        <w:t>4. Mechanisms Underlying Non-Pharmacological Pain Modulation</w:t>
      </w:r>
    </w:p>
    <w:p w14:paraId="781AC041"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Non-pharmacological interventions modulate pain through a variety of mechanisms, addressing nociceptive, neuropathic, and psychosocial aspects of the pain experience</w:t>
      </w:r>
      <w:r w:rsidRPr="00AB551B">
        <w:rPr>
          <w:rFonts w:ascii="Times New Roman" w:hAnsi="Times New Roman" w:cs="Times New Roman"/>
          <w:color w:val="000000" w:themeColor="text1"/>
          <w:sz w:val="24"/>
          <w:szCs w:val="24"/>
          <w:vertAlign w:val="superscript"/>
          <w:lang w:val="en-IN"/>
        </w:rPr>
        <w:t>9,11</w:t>
      </w:r>
      <w:r w:rsidRPr="00AB551B">
        <w:rPr>
          <w:rFonts w:ascii="Times New Roman" w:hAnsi="Times New Roman" w:cs="Times New Roman"/>
          <w:color w:val="000000" w:themeColor="text1"/>
          <w:sz w:val="24"/>
          <w:szCs w:val="24"/>
          <w:lang w:val="en-IN"/>
        </w:rPr>
        <w:t>. These interventions can influence pain pathways at multiple levels, from the peripheral nervous system to the brain</w:t>
      </w:r>
      <w:r w:rsidRPr="00AB551B">
        <w:rPr>
          <w:rFonts w:ascii="Times New Roman" w:hAnsi="Times New Roman" w:cs="Times New Roman"/>
          <w:color w:val="000000" w:themeColor="text1"/>
          <w:sz w:val="24"/>
          <w:szCs w:val="24"/>
          <w:vertAlign w:val="superscript"/>
          <w:lang w:val="en-IN"/>
        </w:rPr>
        <w:t>12</w:t>
      </w:r>
      <w:r w:rsidRPr="00AB551B">
        <w:rPr>
          <w:rFonts w:ascii="Times New Roman" w:hAnsi="Times New Roman" w:cs="Times New Roman"/>
          <w:color w:val="000000" w:themeColor="text1"/>
          <w:sz w:val="24"/>
          <w:szCs w:val="24"/>
          <w:lang w:val="en-IN"/>
        </w:rPr>
        <w:t>. By targeting specific mechanisms, non-pharmacological therapies can provide effective pain relief and improve overall function</w:t>
      </w:r>
      <w:r w:rsidRPr="00AB551B">
        <w:rPr>
          <w:rFonts w:ascii="Times New Roman" w:hAnsi="Times New Roman" w:cs="Times New Roman"/>
          <w:color w:val="000000" w:themeColor="text1"/>
          <w:sz w:val="24"/>
          <w:szCs w:val="24"/>
          <w:vertAlign w:val="superscript"/>
          <w:lang w:val="en-IN"/>
        </w:rPr>
        <w:t>9</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Exercise therapies, for example, can reduce inflammation, improve blood flow, and enhance muscle strength, all of which can contribute to a reduction in nociceptive pain</w:t>
      </w:r>
      <w:r w:rsidRPr="00AB551B">
        <w:rPr>
          <w:rFonts w:ascii="Times New Roman" w:hAnsi="Times New Roman" w:cs="Times New Roman"/>
          <w:color w:val="000000" w:themeColor="text1"/>
          <w:sz w:val="24"/>
          <w:szCs w:val="24"/>
          <w:vertAlign w:val="superscript"/>
          <w:lang w:val="en-IN"/>
        </w:rPr>
        <w:t>19</w:t>
      </w:r>
      <w:r w:rsidRPr="00AB551B">
        <w:rPr>
          <w:rFonts w:ascii="Times New Roman" w:hAnsi="Times New Roman" w:cs="Times New Roman"/>
          <w:color w:val="000000" w:themeColor="text1"/>
          <w:sz w:val="24"/>
          <w:szCs w:val="24"/>
          <w:lang w:val="en-IN"/>
        </w:rPr>
        <w:t> . Manual therapy techniques can restore normal joint mechanics, reduce muscle tension, and alleviate pain by addressing musculoskeletal impairments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Cognitive-behavioral approaches can modify negative thought patterns, improve coping strategies, and reduce emotional distress, all of which can help to modulate the psychosocial aspects of pain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Non-pharmacological interventions can alter central inhibition and excitability, influencing the way pain signals are processed within the central nervous system</w:t>
      </w:r>
      <w:r w:rsidRPr="00AB551B">
        <w:rPr>
          <w:rFonts w:ascii="Times New Roman" w:hAnsi="Times New Roman" w:cs="Times New Roman"/>
          <w:color w:val="000000" w:themeColor="text1"/>
          <w:sz w:val="24"/>
          <w:szCs w:val="24"/>
          <w:vertAlign w:val="superscript"/>
          <w:lang w:val="en-IN"/>
        </w:rPr>
        <w:t>9,16</w:t>
      </w:r>
      <w:r w:rsidRPr="00AB551B">
        <w:rPr>
          <w:rFonts w:ascii="Times New Roman" w:hAnsi="Times New Roman" w:cs="Times New Roman"/>
          <w:color w:val="000000" w:themeColor="text1"/>
          <w:sz w:val="24"/>
          <w:szCs w:val="24"/>
          <w:lang w:val="en-IN"/>
        </w:rPr>
        <w:t> . Central sensitization, a key mechanism in chronic pain, involves the amplification of pain signals within the central nervous system</w:t>
      </w:r>
      <w:r w:rsidRPr="00AB551B">
        <w:rPr>
          <w:rFonts w:ascii="Times New Roman" w:hAnsi="Times New Roman" w:cs="Times New Roman"/>
          <w:color w:val="000000" w:themeColor="text1"/>
          <w:sz w:val="24"/>
          <w:szCs w:val="24"/>
          <w:vertAlign w:val="superscript"/>
          <w:lang w:val="en-IN"/>
        </w:rPr>
        <w:t>9</w:t>
      </w:r>
      <w:r w:rsidRPr="00AB551B">
        <w:rPr>
          <w:rFonts w:ascii="Times New Roman" w:hAnsi="Times New Roman" w:cs="Times New Roman"/>
          <w:color w:val="000000" w:themeColor="text1"/>
          <w:sz w:val="24"/>
          <w:szCs w:val="24"/>
          <w:lang w:val="en-IN"/>
        </w:rPr>
        <w:t>. Non-pharmacological therapies can help to reduce central sensitization by restoring normal inhibitory mechanisms and reducing neuronal excitability</w:t>
      </w:r>
      <w:r w:rsidRPr="00AB551B">
        <w:rPr>
          <w:rFonts w:ascii="Times New Roman" w:hAnsi="Times New Roman" w:cs="Times New Roman"/>
          <w:color w:val="000000" w:themeColor="text1"/>
          <w:sz w:val="24"/>
          <w:szCs w:val="24"/>
          <w:vertAlign w:val="superscript"/>
          <w:lang w:val="en-IN"/>
        </w:rPr>
        <w:t>9</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 xml:space="preserve">Exercise, for example, has </w:t>
      </w:r>
      <w:r w:rsidRPr="00AB551B">
        <w:rPr>
          <w:rFonts w:ascii="Times New Roman" w:hAnsi="Times New Roman" w:cs="Times New Roman"/>
          <w:color w:val="000000" w:themeColor="text1"/>
          <w:sz w:val="24"/>
          <w:szCs w:val="24"/>
          <w:lang w:val="en-IN"/>
        </w:rPr>
        <w:lastRenderedPageBreak/>
        <w:t>been shown to increase the release of endogenous opioids, which can activate inhibitory pathways in the spinal cord and brain, reducing pain</w:t>
      </w:r>
      <w:r w:rsidRPr="00AB551B">
        <w:rPr>
          <w:rFonts w:ascii="Times New Roman" w:hAnsi="Times New Roman" w:cs="Times New Roman"/>
          <w:color w:val="000000" w:themeColor="text1"/>
          <w:sz w:val="24"/>
          <w:szCs w:val="24"/>
          <w:vertAlign w:val="superscript"/>
          <w:lang w:val="en-IN"/>
        </w:rPr>
        <w:t>9</w:t>
      </w:r>
      <w:r w:rsidRPr="00AB551B">
        <w:rPr>
          <w:rFonts w:ascii="Times New Roman" w:hAnsi="Times New Roman" w:cs="Times New Roman"/>
          <w:color w:val="000000" w:themeColor="text1"/>
          <w:sz w:val="24"/>
          <w:szCs w:val="24"/>
          <w:lang w:val="en-IN"/>
        </w:rPr>
        <w:t>. Manual therapy techniques can also influence central pain processing by stimulating mechanoreceptors and activating descending inhibitory pathways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Cognitive-behavioral approaches can help to reduce central excitability by modifying negative thought patterns and reducing emotional distress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Non-pharmacological interventions can induce neuroplastic changes in the brain, leading to long-term alterations in pain processing . Neuroplasticity refers to the brain's ability to reorganize itself by forming new neural connections throughout life</w:t>
      </w:r>
      <w:r w:rsidRPr="00AB551B">
        <w:rPr>
          <w:rFonts w:ascii="Times New Roman" w:hAnsi="Times New Roman" w:cs="Times New Roman"/>
          <w:color w:val="000000" w:themeColor="text1"/>
          <w:sz w:val="24"/>
          <w:szCs w:val="24"/>
          <w:vertAlign w:val="superscript"/>
          <w:lang w:val="en-IN"/>
        </w:rPr>
        <w:t>18</w:t>
      </w:r>
      <w:r w:rsidRPr="00AB551B">
        <w:rPr>
          <w:rFonts w:ascii="Times New Roman" w:hAnsi="Times New Roman" w:cs="Times New Roman"/>
          <w:color w:val="000000" w:themeColor="text1"/>
          <w:sz w:val="24"/>
          <w:szCs w:val="24"/>
          <w:lang w:val="en-IN"/>
        </w:rPr>
        <w:t>. Chronic pain can lead to maladaptive neuroplastic changes in the brain, which can perpetuate the pain experience</w:t>
      </w:r>
      <w:r w:rsidRPr="00AB551B">
        <w:rPr>
          <w:rFonts w:ascii="Times New Roman" w:hAnsi="Times New Roman" w:cs="Times New Roman"/>
          <w:color w:val="000000" w:themeColor="text1"/>
          <w:sz w:val="24"/>
          <w:szCs w:val="24"/>
          <w:vertAlign w:val="superscript"/>
          <w:lang w:val="en-IN"/>
        </w:rPr>
        <w:t>25</w:t>
      </w:r>
      <w:r w:rsidRPr="00AB551B">
        <w:rPr>
          <w:rFonts w:ascii="Times New Roman" w:hAnsi="Times New Roman" w:cs="Times New Roman"/>
          <w:color w:val="000000" w:themeColor="text1"/>
          <w:sz w:val="24"/>
          <w:szCs w:val="24"/>
          <w:lang w:val="en-IN"/>
        </w:rPr>
        <w:t> .(Apkarian et al., 2013)</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Non-pharmacological therapies can promote adaptive neuroplastic changes, helping to restore normal pain processing and reduce pain</w:t>
      </w:r>
      <w:r w:rsidRPr="00AB551B">
        <w:rPr>
          <w:rFonts w:ascii="Times New Roman" w:hAnsi="Times New Roman" w:cs="Times New Roman"/>
          <w:color w:val="000000" w:themeColor="text1"/>
          <w:sz w:val="24"/>
          <w:szCs w:val="24"/>
          <w:vertAlign w:val="superscript"/>
          <w:lang w:val="en-IN"/>
        </w:rPr>
        <w:t>18</w:t>
      </w:r>
      <w:r w:rsidRPr="00AB551B">
        <w:rPr>
          <w:rFonts w:ascii="Times New Roman" w:hAnsi="Times New Roman" w:cs="Times New Roman"/>
          <w:color w:val="000000" w:themeColor="text1"/>
          <w:sz w:val="24"/>
          <w:szCs w:val="24"/>
          <w:lang w:val="en-IN"/>
        </w:rPr>
        <w:t>. Exercise, for example, has been shown to increase gray matter volume in brain regions involved in pain modulation, such as the prefrontal cortex and the amygdala</w:t>
      </w:r>
      <w:r w:rsidRPr="00AB551B">
        <w:rPr>
          <w:rFonts w:ascii="Times New Roman" w:hAnsi="Times New Roman" w:cs="Times New Roman"/>
          <w:color w:val="000000" w:themeColor="text1"/>
          <w:sz w:val="24"/>
          <w:szCs w:val="24"/>
          <w:vertAlign w:val="superscript"/>
          <w:lang w:val="en-IN"/>
        </w:rPr>
        <w:t>18</w:t>
      </w:r>
      <w:r w:rsidRPr="00AB551B">
        <w:rPr>
          <w:rFonts w:ascii="Times New Roman" w:hAnsi="Times New Roman" w:cs="Times New Roman"/>
          <w:color w:val="000000" w:themeColor="text1"/>
          <w:sz w:val="24"/>
          <w:szCs w:val="24"/>
          <w:lang w:val="en-IN"/>
        </w:rPr>
        <w:t>. Cognitive-behavioral approaches can also induce neuroplastic changes by modifying neural circuits involved in emotional regulation and pain perception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Expectation and placebo effects also play a significant role in non-pharmacological pain modulation</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 The placebo effect refers to the phenomenon where a sham treatment can produce a real improvement in symptoms due to the individual's expectation of benefit</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 . Non-pharmacological interventions can harness the power of expectation and placebo effects to enhance pain relief</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 . By creating a positive therapeutic environment and fostering a sense of hope and optimism, clinicians can maximize the benefits of non-pharmacological therapies</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w:t>
      </w:r>
    </w:p>
    <w:p w14:paraId="354E7679" w14:textId="77777777" w:rsidR="00AB551B" w:rsidRPr="00AB551B" w:rsidRDefault="00AB551B" w:rsidP="00AB551B">
      <w:pPr>
        <w:spacing w:after="210" w:line="276" w:lineRule="auto"/>
        <w:jc w:val="both"/>
        <w:rPr>
          <w:rFonts w:ascii="Times New Roman" w:hAnsi="Times New Roman" w:cs="Times New Roman"/>
          <w:b/>
          <w:bCs/>
          <w:sz w:val="24"/>
          <w:szCs w:val="24"/>
          <w:lang w:val="en-IN"/>
        </w:rPr>
      </w:pPr>
      <w:r w:rsidRPr="00AB551B">
        <w:rPr>
          <w:rFonts w:ascii="Times New Roman" w:hAnsi="Times New Roman" w:cs="Times New Roman"/>
          <w:b/>
          <w:bCs/>
          <w:sz w:val="24"/>
          <w:szCs w:val="24"/>
          <w:lang w:val="en-IN"/>
        </w:rPr>
        <w:t>5. Clinical Evidence: Efficacy and Limitations</w:t>
      </w:r>
    </w:p>
    <w:p w14:paraId="1E23D959"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Systematic reviews and meta-analyses provide a comprehensive overview of the evidence supporting the efficacy of non-pharmacological interventions for chronic pain</w:t>
      </w:r>
      <w:r w:rsidRPr="00AB551B">
        <w:rPr>
          <w:rFonts w:ascii="Times New Roman" w:hAnsi="Times New Roman" w:cs="Times New Roman"/>
          <w:color w:val="000000" w:themeColor="text1"/>
          <w:sz w:val="24"/>
          <w:szCs w:val="24"/>
          <w:vertAlign w:val="superscript"/>
          <w:lang w:val="en-IN"/>
        </w:rPr>
        <w:t>27,28</w:t>
      </w:r>
      <w:r w:rsidRPr="00AB551B">
        <w:rPr>
          <w:rFonts w:ascii="Times New Roman" w:hAnsi="Times New Roman" w:cs="Times New Roman"/>
          <w:color w:val="000000" w:themeColor="text1"/>
          <w:sz w:val="24"/>
          <w:szCs w:val="24"/>
          <w:lang w:val="en-IN"/>
        </w:rPr>
        <w:t>. These studies synthesize the findings from multiple clinical trials to provide a more precise estimate of treatment effects and identify potential sources of bias</w:t>
      </w:r>
      <w:r w:rsidRPr="00AB551B">
        <w:rPr>
          <w:rFonts w:ascii="Times New Roman" w:hAnsi="Times New Roman" w:cs="Times New Roman"/>
          <w:color w:val="000000" w:themeColor="text1"/>
          <w:sz w:val="24"/>
          <w:szCs w:val="24"/>
          <w:vertAlign w:val="superscript"/>
          <w:lang w:val="en-IN"/>
        </w:rPr>
        <w:t>27</w:t>
      </w:r>
      <w:r w:rsidRPr="00AB551B">
        <w:rPr>
          <w:rFonts w:ascii="Times New Roman" w:hAnsi="Times New Roman" w:cs="Times New Roman"/>
          <w:color w:val="000000" w:themeColor="text1"/>
          <w:sz w:val="24"/>
          <w:szCs w:val="24"/>
          <w:lang w:val="en-IN"/>
        </w:rPr>
        <w:t>. Numerous systematic reviews and meta-analyses have demonstrated the effectiveness of various non-pharmacological therapies for different chronic pain conditions</w:t>
      </w:r>
      <w:r w:rsidRPr="00AB551B">
        <w:rPr>
          <w:rFonts w:ascii="Times New Roman" w:hAnsi="Times New Roman" w:cs="Times New Roman"/>
          <w:color w:val="000000" w:themeColor="text1"/>
          <w:sz w:val="24"/>
          <w:szCs w:val="24"/>
          <w:vertAlign w:val="superscript"/>
          <w:lang w:val="en-IN"/>
        </w:rPr>
        <w:t>28</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Exercise therapies, such as aerobic exercise and strengthening exercises, have been shown to be effective for reducing pain and improving function in individuals with chronic low back pain, osteoarthritis, and fibromyalgia</w:t>
      </w:r>
      <w:r w:rsidRPr="00AB551B">
        <w:rPr>
          <w:rFonts w:ascii="Times New Roman" w:hAnsi="Times New Roman" w:cs="Times New Roman"/>
          <w:color w:val="000000" w:themeColor="text1"/>
          <w:sz w:val="24"/>
          <w:szCs w:val="24"/>
          <w:vertAlign w:val="superscript"/>
          <w:lang w:val="en-IN"/>
        </w:rPr>
        <w:t>19,29</w:t>
      </w:r>
      <w:r w:rsidRPr="00AB551B">
        <w:rPr>
          <w:rFonts w:ascii="Times New Roman" w:hAnsi="Times New Roman" w:cs="Times New Roman"/>
          <w:color w:val="000000" w:themeColor="text1"/>
          <w:sz w:val="24"/>
          <w:szCs w:val="24"/>
          <w:lang w:val="en-IN"/>
        </w:rPr>
        <w:t>. Manual therapy techniques, such as massage and joint mobilization, have also been shown to provide pain relief and improve function in individuals with musculoskeletal pain</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Cognitive-behavioral therapy (CBT) has been shown to be effective for reducing pain, improving mood, and enhancing coping strategies in individuals with various chronic pain conditions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The duration, consistency, and comparative effectiveness of non-pharmacological interventions are important considerations when evaluating their clinical utility</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 . Some non-pharmacological therapies may provide short-term pain relief, while others may have more long-lasting effects</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 The consistency of treatment effects across different studies and patient populations is also an important factor to consider</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Comparative effectiveness research aims to compare the effectiveness of different treatments for the same condition</w:t>
      </w:r>
      <w:r w:rsidRPr="00AB551B">
        <w:rPr>
          <w:rFonts w:ascii="Times New Roman" w:hAnsi="Times New Roman" w:cs="Times New Roman"/>
          <w:color w:val="000000" w:themeColor="text1"/>
          <w:sz w:val="24"/>
          <w:szCs w:val="24"/>
          <w:vertAlign w:val="superscript"/>
          <w:lang w:val="en-IN"/>
        </w:rPr>
        <w:t>29</w:t>
      </w:r>
      <w:r w:rsidRPr="00AB551B">
        <w:rPr>
          <w:rFonts w:ascii="Times New Roman" w:hAnsi="Times New Roman" w:cs="Times New Roman"/>
          <w:color w:val="000000" w:themeColor="text1"/>
          <w:sz w:val="24"/>
          <w:szCs w:val="24"/>
          <w:lang w:val="en-IN"/>
        </w:rPr>
        <w:t> . This type of research can help clinicians to make informed decisions about which treatments are most likely to benefit their patients</w:t>
      </w:r>
      <w:r w:rsidRPr="00AB551B">
        <w:rPr>
          <w:rFonts w:ascii="Times New Roman" w:hAnsi="Times New Roman" w:cs="Times New Roman"/>
          <w:color w:val="000000" w:themeColor="text1"/>
          <w:sz w:val="24"/>
          <w:szCs w:val="24"/>
          <w:vertAlign w:val="superscript"/>
          <w:lang w:val="en-IN"/>
        </w:rPr>
        <w:t>29</w:t>
      </w:r>
      <w:r w:rsidRPr="00AB551B">
        <w:rPr>
          <w:rFonts w:ascii="Times New Roman" w:hAnsi="Times New Roman" w:cs="Times New Roman"/>
          <w:color w:val="000000" w:themeColor="text1"/>
          <w:sz w:val="24"/>
          <w:szCs w:val="24"/>
          <w:lang w:val="en-IN"/>
        </w:rPr>
        <w:t>. Studies comparing different non-pharmacological therapies have shown that some interventions may be more effective than others for specific chronic pain conditions</w:t>
      </w:r>
      <w:r w:rsidRPr="00AB551B">
        <w:rPr>
          <w:rFonts w:ascii="Times New Roman" w:hAnsi="Times New Roman" w:cs="Times New Roman"/>
          <w:color w:val="000000" w:themeColor="text1"/>
          <w:sz w:val="24"/>
          <w:szCs w:val="24"/>
          <w:vertAlign w:val="superscript"/>
          <w:lang w:val="en-IN"/>
        </w:rPr>
        <w:t>29</w:t>
      </w:r>
      <w:r w:rsidRPr="00AB551B">
        <w:rPr>
          <w:rFonts w:ascii="Times New Roman" w:hAnsi="Times New Roman" w:cs="Times New Roman"/>
          <w:color w:val="000000" w:themeColor="text1"/>
          <w:sz w:val="24"/>
          <w:szCs w:val="24"/>
          <w:lang w:val="en-IN"/>
        </w:rPr>
        <w:t>.</w:t>
      </w:r>
    </w:p>
    <w:p w14:paraId="6055F98E" w14:textId="77777777" w:rsidR="00AB551B" w:rsidRPr="00AB551B" w:rsidRDefault="00AB551B" w:rsidP="00AB551B">
      <w:pPr>
        <w:spacing w:after="210" w:line="276" w:lineRule="auto"/>
        <w:jc w:val="both"/>
        <w:rPr>
          <w:rFonts w:ascii="Times New Roman" w:hAnsi="Times New Roman" w:cs="Times New Roman"/>
          <w:sz w:val="24"/>
          <w:szCs w:val="24"/>
        </w:rPr>
      </w:pPr>
      <w:r w:rsidRPr="00AB551B">
        <w:rPr>
          <w:rFonts w:ascii="Times New Roman" w:hAnsi="Times New Roman" w:cs="Times New Roman"/>
          <w:color w:val="000000" w:themeColor="text1"/>
          <w:sz w:val="24"/>
          <w:szCs w:val="24"/>
          <w:lang w:val="en-IN"/>
        </w:rPr>
        <w:lastRenderedPageBreak/>
        <w:t>Patient-centered concerns, such as adherence, side effects, and quality of life, are important considerations when implementing non-pharmacological interventions. Adherence refers to the extent to which individuals follow the recommendations of their healthcare providers. Non-pharmacological therapies often require active participation from patients, and adherence can be a challenge for some individuals</w:t>
      </w:r>
      <w:r w:rsidRPr="00AB551B">
        <w:rPr>
          <w:rFonts w:ascii="Times New Roman" w:hAnsi="Times New Roman" w:cs="Times New Roman"/>
          <w:color w:val="000000" w:themeColor="text1"/>
          <w:sz w:val="24"/>
          <w:szCs w:val="24"/>
          <w:vertAlign w:val="superscript"/>
          <w:lang w:val="en-IN"/>
        </w:rPr>
        <w:t>20</w:t>
      </w:r>
      <w:r w:rsidRPr="00AB551B">
        <w:rPr>
          <w:rFonts w:ascii="Times New Roman" w:hAnsi="Times New Roman" w:cs="Times New Roman"/>
          <w:color w:val="000000" w:themeColor="text1"/>
          <w:sz w:val="24"/>
          <w:szCs w:val="24"/>
          <w:lang w:val="en-IN"/>
        </w:rPr>
        <w:t>. Side effects are also an important consideration, although non-pharmacological therapies generally have fewer side effects than pharmacological treatments. Some non-pharmacological interventions, such as acupuncture, may be associated with minor side effects, such as soreness or bruising</w:t>
      </w:r>
      <w:r w:rsidRPr="00AB551B">
        <w:rPr>
          <w:rFonts w:ascii="Times New Roman" w:hAnsi="Times New Roman" w:cs="Times New Roman"/>
          <w:color w:val="000000" w:themeColor="text1"/>
          <w:sz w:val="24"/>
          <w:szCs w:val="24"/>
          <w:vertAlign w:val="superscript"/>
          <w:lang w:val="en-IN"/>
        </w:rPr>
        <w:t>30</w:t>
      </w:r>
      <w:r w:rsidRPr="00AB551B">
        <w:rPr>
          <w:rFonts w:ascii="Times New Roman" w:hAnsi="Times New Roman" w:cs="Times New Roman"/>
          <w:color w:val="000000" w:themeColor="text1"/>
          <w:sz w:val="24"/>
          <w:szCs w:val="24"/>
          <w:lang w:val="en-IN"/>
        </w:rPr>
        <w:t>. Quality of life is a key outcome measure in chronic pain management. Non-pharmacological therapies aim to improve patients' quality of life by reducing pain, improving function, and enhancing overall well-being</w:t>
      </w:r>
      <w:r w:rsidRPr="00AB551B">
        <w:rPr>
          <w:rFonts w:ascii="Times New Roman" w:hAnsi="Times New Roman" w:cs="Times New Roman"/>
          <w:color w:val="000000" w:themeColor="text1"/>
          <w:sz w:val="24"/>
          <w:szCs w:val="24"/>
          <w:vertAlign w:val="superscript"/>
          <w:lang w:val="en-IN"/>
        </w:rPr>
        <w:t>31</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The </w:t>
      </w:r>
      <w:r w:rsidRPr="00AB551B">
        <w:rPr>
          <w:rFonts w:ascii="Times New Roman" w:eastAsia="SimSun" w:hAnsi="Times New Roman" w:cs="Times New Roman"/>
          <w:color w:val="000000" w:themeColor="text1"/>
          <w:sz w:val="24"/>
          <w:szCs w:val="24"/>
        </w:rPr>
        <w:t>Clinical e</w:t>
      </w:r>
      <w:r w:rsidRPr="00AB551B">
        <w:rPr>
          <w:rFonts w:ascii="Times New Roman" w:eastAsia="SimSun" w:hAnsi="Times New Roman" w:cs="Times New Roman"/>
          <w:sz w:val="24"/>
          <w:szCs w:val="24"/>
        </w:rPr>
        <w:t xml:space="preserve">vidence from systematic reviews and meta-analyses on the efficacy, limitations, and patient-centered outcomes of pharmacological and non-pharmacological interventions in chronic pain management are mentioned below in </w:t>
      </w:r>
      <w:r w:rsidRPr="00AB551B">
        <w:rPr>
          <w:rFonts w:ascii="Times New Roman" w:eastAsia="SimSun" w:hAnsi="Times New Roman" w:cs="Times New Roman"/>
          <w:b/>
          <w:bCs/>
          <w:sz w:val="24"/>
          <w:szCs w:val="24"/>
        </w:rPr>
        <w:t>Table-1.</w:t>
      </w:r>
    </w:p>
    <w:tbl>
      <w:tblPr>
        <w:tblW w:w="10890" w:type="dxa"/>
        <w:tblInd w:w="-545" w:type="dxa"/>
        <w:tblLayout w:type="fixed"/>
        <w:tblLook w:val="04A0" w:firstRow="1" w:lastRow="0" w:firstColumn="1" w:lastColumn="0" w:noHBand="0" w:noVBand="1"/>
      </w:tblPr>
      <w:tblGrid>
        <w:gridCol w:w="2070"/>
        <w:gridCol w:w="1556"/>
        <w:gridCol w:w="1464"/>
        <w:gridCol w:w="1704"/>
        <w:gridCol w:w="1452"/>
        <w:gridCol w:w="1834"/>
        <w:gridCol w:w="810"/>
      </w:tblGrid>
      <w:tr w:rsidR="00AB551B" w:rsidRPr="00AB551B" w14:paraId="7F2ED9CC" w14:textId="77777777" w:rsidTr="00227E48">
        <w:trPr>
          <w:trHeight w:val="2450"/>
        </w:trPr>
        <w:tc>
          <w:tcPr>
            <w:tcW w:w="2070" w:type="dxa"/>
            <w:tcBorders>
              <w:top w:val="single" w:sz="4" w:space="0" w:color="000000"/>
              <w:left w:val="single" w:sz="4" w:space="0" w:color="000000"/>
              <w:bottom w:val="single" w:sz="4" w:space="0" w:color="000000"/>
              <w:right w:val="single" w:sz="4" w:space="0" w:color="000000"/>
            </w:tcBorders>
            <w:vAlign w:val="center"/>
          </w:tcPr>
          <w:p w14:paraId="5D53AEB3"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Intervention</w:t>
            </w:r>
          </w:p>
        </w:tc>
        <w:tc>
          <w:tcPr>
            <w:tcW w:w="1556" w:type="dxa"/>
            <w:tcBorders>
              <w:top w:val="single" w:sz="4" w:space="0" w:color="000000"/>
              <w:left w:val="single" w:sz="4" w:space="0" w:color="000000"/>
              <w:bottom w:val="single" w:sz="4" w:space="0" w:color="000000"/>
              <w:right w:val="single" w:sz="4" w:space="0" w:color="000000"/>
            </w:tcBorders>
            <w:vAlign w:val="center"/>
          </w:tcPr>
          <w:p w14:paraId="6E61FB5E"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Sample Size / Studies Included</w:t>
            </w:r>
          </w:p>
        </w:tc>
        <w:tc>
          <w:tcPr>
            <w:tcW w:w="1464" w:type="dxa"/>
            <w:tcBorders>
              <w:top w:val="single" w:sz="4" w:space="0" w:color="000000"/>
              <w:left w:val="single" w:sz="4" w:space="0" w:color="000000"/>
              <w:bottom w:val="single" w:sz="4" w:space="0" w:color="000000"/>
              <w:right w:val="single" w:sz="4" w:space="0" w:color="000000"/>
            </w:tcBorders>
            <w:vAlign w:val="center"/>
          </w:tcPr>
          <w:p w14:paraId="3FF52608"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Consistency of Evidence</w:t>
            </w:r>
          </w:p>
        </w:tc>
        <w:tc>
          <w:tcPr>
            <w:tcW w:w="1704" w:type="dxa"/>
            <w:tcBorders>
              <w:top w:val="single" w:sz="4" w:space="0" w:color="000000"/>
              <w:left w:val="single" w:sz="4" w:space="0" w:color="000000"/>
              <w:bottom w:val="single" w:sz="4" w:space="0" w:color="000000"/>
              <w:right w:val="single" w:sz="4" w:space="0" w:color="000000"/>
            </w:tcBorders>
            <w:vAlign w:val="center"/>
          </w:tcPr>
          <w:p w14:paraId="3AC0D580"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Comparative Effectiveness</w:t>
            </w:r>
          </w:p>
        </w:tc>
        <w:tc>
          <w:tcPr>
            <w:tcW w:w="1452" w:type="dxa"/>
            <w:tcBorders>
              <w:top w:val="single" w:sz="4" w:space="0" w:color="000000"/>
              <w:left w:val="single" w:sz="4" w:space="0" w:color="000000"/>
              <w:bottom w:val="single" w:sz="4" w:space="0" w:color="000000"/>
              <w:right w:val="single" w:sz="4" w:space="0" w:color="000000"/>
            </w:tcBorders>
            <w:vAlign w:val="center"/>
          </w:tcPr>
          <w:p w14:paraId="12CB6C1D"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Adverse Effects / Limitations</w:t>
            </w:r>
          </w:p>
        </w:tc>
        <w:tc>
          <w:tcPr>
            <w:tcW w:w="1834" w:type="dxa"/>
            <w:tcBorders>
              <w:top w:val="single" w:sz="4" w:space="0" w:color="000000"/>
              <w:left w:val="single" w:sz="4" w:space="0" w:color="000000"/>
              <w:bottom w:val="single" w:sz="4" w:space="0" w:color="000000"/>
              <w:right w:val="single" w:sz="4" w:space="0" w:color="000000"/>
            </w:tcBorders>
            <w:vAlign w:val="center"/>
          </w:tcPr>
          <w:p w14:paraId="20FF5B7F"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Patient-Centered Concerns (Adherence, QoL, Satisfaction)</w:t>
            </w:r>
          </w:p>
        </w:tc>
        <w:tc>
          <w:tcPr>
            <w:tcW w:w="810" w:type="dxa"/>
            <w:tcBorders>
              <w:top w:val="single" w:sz="4" w:space="0" w:color="000000"/>
              <w:left w:val="single" w:sz="4" w:space="0" w:color="000000"/>
              <w:bottom w:val="single" w:sz="4" w:space="0" w:color="000000"/>
              <w:right w:val="single" w:sz="4" w:space="0" w:color="000000"/>
            </w:tcBorders>
            <w:vAlign w:val="center"/>
          </w:tcPr>
          <w:p w14:paraId="7F65CB22" w14:textId="77777777" w:rsidR="00AB551B" w:rsidRPr="00AB551B" w:rsidRDefault="00AB551B" w:rsidP="00227E48">
            <w:pPr>
              <w:spacing w:line="276" w:lineRule="auto"/>
              <w:jc w:val="center"/>
              <w:textAlignment w:val="center"/>
              <w:rPr>
                <w:rFonts w:ascii="Times New Roman" w:hAnsi="Times New Roman" w:cs="Times New Roman"/>
                <w:b/>
                <w:bCs/>
                <w:color w:val="000000"/>
                <w:sz w:val="20"/>
              </w:rPr>
            </w:pPr>
            <w:r w:rsidRPr="00AB551B">
              <w:rPr>
                <w:rFonts w:ascii="Times New Roman" w:eastAsia="SimSun" w:hAnsi="Times New Roman" w:cs="Times New Roman"/>
                <w:b/>
                <w:bCs/>
                <w:color w:val="000000"/>
                <w:sz w:val="20"/>
                <w:lang w:eastAsia="zh-CN" w:bidi="ar"/>
              </w:rPr>
              <w:t>Ref.</w:t>
            </w:r>
          </w:p>
        </w:tc>
      </w:tr>
      <w:tr w:rsidR="00AB551B" w:rsidRPr="00AB551B" w14:paraId="33C57FBE" w14:textId="77777777" w:rsidTr="00227E48">
        <w:trPr>
          <w:trHeight w:val="1204"/>
        </w:trPr>
        <w:tc>
          <w:tcPr>
            <w:tcW w:w="2070" w:type="dxa"/>
            <w:tcBorders>
              <w:top w:val="single" w:sz="4" w:space="0" w:color="000000"/>
              <w:left w:val="single" w:sz="4" w:space="0" w:color="000000"/>
              <w:bottom w:val="single" w:sz="4" w:space="0" w:color="000000"/>
              <w:right w:val="single" w:sz="4" w:space="0" w:color="000000"/>
            </w:tcBorders>
            <w:vAlign w:val="center"/>
          </w:tcPr>
          <w:p w14:paraId="4366707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NSAIDs in chronic musculoskeletal pain</w:t>
            </w:r>
          </w:p>
        </w:tc>
        <w:tc>
          <w:tcPr>
            <w:tcW w:w="1556" w:type="dxa"/>
            <w:tcBorders>
              <w:top w:val="single" w:sz="4" w:space="0" w:color="000000"/>
              <w:left w:val="single" w:sz="4" w:space="0" w:color="000000"/>
              <w:bottom w:val="single" w:sz="4" w:space="0" w:color="000000"/>
              <w:right w:val="single" w:sz="4" w:space="0" w:color="000000"/>
            </w:tcBorders>
            <w:vAlign w:val="center"/>
          </w:tcPr>
          <w:p w14:paraId="4BF4EA0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65 RCTs, &gt;6,000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0DC31139"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Moderate</w:t>
            </w:r>
          </w:p>
        </w:tc>
        <w:tc>
          <w:tcPr>
            <w:tcW w:w="1704" w:type="dxa"/>
            <w:tcBorders>
              <w:top w:val="single" w:sz="4" w:space="0" w:color="000000"/>
              <w:left w:val="single" w:sz="4" w:space="0" w:color="000000"/>
              <w:bottom w:val="single" w:sz="4" w:space="0" w:color="000000"/>
              <w:right w:val="single" w:sz="4" w:space="0" w:color="000000"/>
            </w:tcBorders>
            <w:vAlign w:val="center"/>
          </w:tcPr>
          <w:p w14:paraId="0F7862CB"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More effective than placebo, less than physiotherapy</w:t>
            </w:r>
          </w:p>
        </w:tc>
        <w:tc>
          <w:tcPr>
            <w:tcW w:w="1452" w:type="dxa"/>
            <w:tcBorders>
              <w:top w:val="single" w:sz="4" w:space="0" w:color="000000"/>
              <w:left w:val="single" w:sz="4" w:space="0" w:color="000000"/>
              <w:bottom w:val="single" w:sz="4" w:space="0" w:color="000000"/>
              <w:right w:val="single" w:sz="4" w:space="0" w:color="000000"/>
            </w:tcBorders>
            <w:vAlign w:val="center"/>
          </w:tcPr>
          <w:p w14:paraId="1872CA3C"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GI bleeding, renal impairment</w:t>
            </w:r>
          </w:p>
        </w:tc>
        <w:tc>
          <w:tcPr>
            <w:tcW w:w="1834" w:type="dxa"/>
            <w:tcBorders>
              <w:top w:val="single" w:sz="4" w:space="0" w:color="000000"/>
              <w:left w:val="single" w:sz="4" w:space="0" w:color="000000"/>
              <w:bottom w:val="single" w:sz="4" w:space="0" w:color="000000"/>
              <w:right w:val="single" w:sz="4" w:space="0" w:color="000000"/>
            </w:tcBorders>
            <w:vAlign w:val="center"/>
          </w:tcPr>
          <w:p w14:paraId="06C51407"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Moderate adherence, QoL not significantly improved</w:t>
            </w:r>
          </w:p>
        </w:tc>
        <w:tc>
          <w:tcPr>
            <w:tcW w:w="810" w:type="dxa"/>
            <w:tcBorders>
              <w:top w:val="single" w:sz="4" w:space="0" w:color="000000"/>
              <w:left w:val="single" w:sz="4" w:space="0" w:color="000000"/>
              <w:bottom w:val="single" w:sz="4" w:space="0" w:color="000000"/>
              <w:right w:val="single" w:sz="4" w:space="0" w:color="000000"/>
            </w:tcBorders>
            <w:vAlign w:val="center"/>
          </w:tcPr>
          <w:p w14:paraId="519DF4CF"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1" w:anchor="chunk_ef16f47323e08d2c5a9b19f229aba33e01aabe3b8562b7a5cc5def6f6ce7b57d" w:history="1">
              <w:r w:rsidRPr="00AB551B">
                <w:rPr>
                  <w:rStyle w:val="Hyperlink"/>
                  <w:rFonts w:ascii="Times New Roman" w:hAnsi="Times New Roman" w:cs="Times New Roman"/>
                  <w:color w:val="000000" w:themeColor="text1"/>
                  <w:sz w:val="20"/>
                  <w:lang w:val="en-IN"/>
                </w:rPr>
                <w:t>[1]</w:t>
              </w:r>
            </w:hyperlink>
          </w:p>
        </w:tc>
      </w:tr>
      <w:tr w:rsidR="00AB551B" w:rsidRPr="00AB551B" w14:paraId="38552A1C" w14:textId="77777777" w:rsidTr="00227E48">
        <w:trPr>
          <w:trHeight w:val="2006"/>
        </w:trPr>
        <w:tc>
          <w:tcPr>
            <w:tcW w:w="2070" w:type="dxa"/>
            <w:tcBorders>
              <w:top w:val="single" w:sz="4" w:space="0" w:color="000000"/>
              <w:left w:val="single" w:sz="4" w:space="0" w:color="000000"/>
              <w:bottom w:val="single" w:sz="4" w:space="0" w:color="000000"/>
              <w:right w:val="single" w:sz="4" w:space="0" w:color="000000"/>
            </w:tcBorders>
            <w:vAlign w:val="center"/>
          </w:tcPr>
          <w:p w14:paraId="3AC26DFF"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Opioids for chronic non-cancer pain</w:t>
            </w:r>
          </w:p>
        </w:tc>
        <w:tc>
          <w:tcPr>
            <w:tcW w:w="1556" w:type="dxa"/>
            <w:tcBorders>
              <w:top w:val="single" w:sz="4" w:space="0" w:color="000000"/>
              <w:left w:val="single" w:sz="4" w:space="0" w:color="000000"/>
              <w:bottom w:val="single" w:sz="4" w:space="0" w:color="000000"/>
              <w:right w:val="single" w:sz="4" w:space="0" w:color="000000"/>
            </w:tcBorders>
            <w:vAlign w:val="center"/>
          </w:tcPr>
          <w:p w14:paraId="50029E89"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96 trials, &gt;26,000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0F88D1E1"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Low–moderate</w:t>
            </w:r>
          </w:p>
        </w:tc>
        <w:tc>
          <w:tcPr>
            <w:tcW w:w="1704" w:type="dxa"/>
            <w:tcBorders>
              <w:top w:val="single" w:sz="4" w:space="0" w:color="000000"/>
              <w:left w:val="single" w:sz="4" w:space="0" w:color="000000"/>
              <w:bottom w:val="single" w:sz="4" w:space="0" w:color="000000"/>
              <w:right w:val="single" w:sz="4" w:space="0" w:color="000000"/>
            </w:tcBorders>
            <w:vAlign w:val="center"/>
          </w:tcPr>
          <w:p w14:paraId="0EE84BA1"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More effective than placebo, inferior safety profile</w:t>
            </w:r>
          </w:p>
        </w:tc>
        <w:tc>
          <w:tcPr>
            <w:tcW w:w="1452" w:type="dxa"/>
            <w:tcBorders>
              <w:top w:val="single" w:sz="4" w:space="0" w:color="000000"/>
              <w:left w:val="single" w:sz="4" w:space="0" w:color="000000"/>
              <w:bottom w:val="single" w:sz="4" w:space="0" w:color="000000"/>
              <w:right w:val="single" w:sz="4" w:space="0" w:color="000000"/>
            </w:tcBorders>
            <w:vAlign w:val="center"/>
          </w:tcPr>
          <w:p w14:paraId="00AA1D62"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Dependence, overdose risk</w:t>
            </w:r>
          </w:p>
        </w:tc>
        <w:tc>
          <w:tcPr>
            <w:tcW w:w="1834" w:type="dxa"/>
            <w:tcBorders>
              <w:top w:val="single" w:sz="4" w:space="0" w:color="000000"/>
              <w:left w:val="single" w:sz="4" w:space="0" w:color="000000"/>
              <w:bottom w:val="single" w:sz="4" w:space="0" w:color="000000"/>
              <w:right w:val="single" w:sz="4" w:space="0" w:color="000000"/>
            </w:tcBorders>
            <w:vAlign w:val="center"/>
          </w:tcPr>
          <w:p w14:paraId="1935ED6E"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Poor adherence long-term, reduced QoL due to side effects</w:t>
            </w:r>
          </w:p>
        </w:tc>
        <w:tc>
          <w:tcPr>
            <w:tcW w:w="810" w:type="dxa"/>
            <w:tcBorders>
              <w:top w:val="single" w:sz="4" w:space="0" w:color="000000"/>
              <w:left w:val="single" w:sz="4" w:space="0" w:color="000000"/>
              <w:bottom w:val="single" w:sz="4" w:space="0" w:color="000000"/>
              <w:right w:val="single" w:sz="4" w:space="0" w:color="000000"/>
            </w:tcBorders>
            <w:vAlign w:val="center"/>
          </w:tcPr>
          <w:p w14:paraId="44E24A9C"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2"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2</w:t>
              </w:r>
              <w:r w:rsidRPr="00AB551B">
                <w:rPr>
                  <w:rStyle w:val="Hyperlink"/>
                  <w:rFonts w:ascii="Times New Roman" w:hAnsi="Times New Roman" w:cs="Times New Roman"/>
                  <w:color w:val="000000" w:themeColor="text1"/>
                  <w:sz w:val="20"/>
                  <w:lang w:val="en-IN"/>
                </w:rPr>
                <w:t>]</w:t>
              </w:r>
            </w:hyperlink>
          </w:p>
        </w:tc>
      </w:tr>
      <w:tr w:rsidR="00AB551B" w:rsidRPr="00AB551B" w14:paraId="7A1CDCE5" w14:textId="77777777" w:rsidTr="00227E48">
        <w:trPr>
          <w:trHeight w:val="470"/>
        </w:trPr>
        <w:tc>
          <w:tcPr>
            <w:tcW w:w="2070" w:type="dxa"/>
            <w:tcBorders>
              <w:top w:val="single" w:sz="4" w:space="0" w:color="000000"/>
              <w:left w:val="single" w:sz="4" w:space="0" w:color="000000"/>
              <w:bottom w:val="single" w:sz="4" w:space="0" w:color="000000"/>
              <w:right w:val="single" w:sz="4" w:space="0" w:color="000000"/>
            </w:tcBorders>
            <w:vAlign w:val="center"/>
          </w:tcPr>
          <w:p w14:paraId="363D57D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Antidepressants (Duloxetine) for neuropathic pain</w:t>
            </w:r>
          </w:p>
        </w:tc>
        <w:tc>
          <w:tcPr>
            <w:tcW w:w="1556" w:type="dxa"/>
            <w:tcBorders>
              <w:top w:val="single" w:sz="4" w:space="0" w:color="000000"/>
              <w:left w:val="single" w:sz="4" w:space="0" w:color="000000"/>
              <w:bottom w:val="single" w:sz="4" w:space="0" w:color="000000"/>
              <w:right w:val="single" w:sz="4" w:space="0" w:color="000000"/>
            </w:tcBorders>
            <w:vAlign w:val="center"/>
          </w:tcPr>
          <w:p w14:paraId="6A5F29D1"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23 RCTs, &gt;7,000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5FD433E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 for neuropathic pain</w:t>
            </w:r>
          </w:p>
        </w:tc>
        <w:tc>
          <w:tcPr>
            <w:tcW w:w="1704" w:type="dxa"/>
            <w:tcBorders>
              <w:top w:val="single" w:sz="4" w:space="0" w:color="000000"/>
              <w:left w:val="single" w:sz="4" w:space="0" w:color="000000"/>
              <w:bottom w:val="single" w:sz="4" w:space="0" w:color="000000"/>
              <w:right w:val="single" w:sz="4" w:space="0" w:color="000000"/>
            </w:tcBorders>
            <w:vAlign w:val="center"/>
          </w:tcPr>
          <w:p w14:paraId="6AD8243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Comparable to pregabalin</w:t>
            </w:r>
          </w:p>
        </w:tc>
        <w:tc>
          <w:tcPr>
            <w:tcW w:w="1452" w:type="dxa"/>
            <w:tcBorders>
              <w:top w:val="single" w:sz="4" w:space="0" w:color="000000"/>
              <w:left w:val="single" w:sz="4" w:space="0" w:color="000000"/>
              <w:bottom w:val="single" w:sz="4" w:space="0" w:color="000000"/>
              <w:right w:val="single" w:sz="4" w:space="0" w:color="000000"/>
            </w:tcBorders>
            <w:vAlign w:val="center"/>
          </w:tcPr>
          <w:p w14:paraId="00F2697D"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Nausea, fatigue</w:t>
            </w:r>
          </w:p>
        </w:tc>
        <w:tc>
          <w:tcPr>
            <w:tcW w:w="1834" w:type="dxa"/>
            <w:tcBorders>
              <w:top w:val="single" w:sz="4" w:space="0" w:color="000000"/>
              <w:left w:val="single" w:sz="4" w:space="0" w:color="000000"/>
              <w:bottom w:val="single" w:sz="4" w:space="0" w:color="000000"/>
              <w:right w:val="single" w:sz="4" w:space="0" w:color="000000"/>
            </w:tcBorders>
            <w:vAlign w:val="center"/>
          </w:tcPr>
          <w:p w14:paraId="6EC59EAC"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Adherence often limited by side effects</w:t>
            </w:r>
          </w:p>
        </w:tc>
        <w:tc>
          <w:tcPr>
            <w:tcW w:w="810" w:type="dxa"/>
            <w:tcBorders>
              <w:top w:val="single" w:sz="4" w:space="0" w:color="000000"/>
              <w:left w:val="single" w:sz="4" w:space="0" w:color="000000"/>
              <w:bottom w:val="single" w:sz="4" w:space="0" w:color="000000"/>
              <w:right w:val="single" w:sz="4" w:space="0" w:color="000000"/>
            </w:tcBorders>
            <w:vAlign w:val="center"/>
          </w:tcPr>
          <w:p w14:paraId="2E652A8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3" w:anchor="chunk_ef16f47323e08d2c5a9b19f229aba33e01aabe3b8562b7a5cc5def6f6ce7b57d" w:history="1">
              <w:r w:rsidRPr="00AB551B">
                <w:rPr>
                  <w:rStyle w:val="Hyperlink"/>
                  <w:rFonts w:ascii="Times New Roman" w:hAnsi="Times New Roman" w:cs="Times New Roman"/>
                  <w:color w:val="000000" w:themeColor="text1"/>
                  <w:sz w:val="20"/>
                  <w:lang w:val="en-IN"/>
                </w:rPr>
                <w:t>[3]</w:t>
              </w:r>
            </w:hyperlink>
          </w:p>
        </w:tc>
      </w:tr>
      <w:tr w:rsidR="00AB551B" w:rsidRPr="00AB551B" w14:paraId="15C35115" w14:textId="77777777" w:rsidTr="00227E48">
        <w:trPr>
          <w:trHeight w:val="1783"/>
        </w:trPr>
        <w:tc>
          <w:tcPr>
            <w:tcW w:w="2070" w:type="dxa"/>
            <w:tcBorders>
              <w:top w:val="single" w:sz="4" w:space="0" w:color="000000"/>
              <w:left w:val="single" w:sz="4" w:space="0" w:color="000000"/>
              <w:bottom w:val="single" w:sz="4" w:space="0" w:color="000000"/>
              <w:right w:val="single" w:sz="4" w:space="0" w:color="000000"/>
            </w:tcBorders>
            <w:vAlign w:val="center"/>
          </w:tcPr>
          <w:p w14:paraId="40534051"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Exercise therapy for chronic low back pain</w:t>
            </w:r>
          </w:p>
        </w:tc>
        <w:tc>
          <w:tcPr>
            <w:tcW w:w="1556" w:type="dxa"/>
            <w:tcBorders>
              <w:top w:val="single" w:sz="4" w:space="0" w:color="000000"/>
              <w:left w:val="single" w:sz="4" w:space="0" w:color="000000"/>
              <w:bottom w:val="single" w:sz="4" w:space="0" w:color="000000"/>
              <w:right w:val="single" w:sz="4" w:space="0" w:color="000000"/>
            </w:tcBorders>
            <w:vAlign w:val="center"/>
          </w:tcPr>
          <w:p w14:paraId="54D7387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249 trials, &gt;24,000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5F9E33A6"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w:t>
            </w:r>
          </w:p>
        </w:tc>
        <w:tc>
          <w:tcPr>
            <w:tcW w:w="1704" w:type="dxa"/>
            <w:tcBorders>
              <w:top w:val="single" w:sz="4" w:space="0" w:color="000000"/>
              <w:left w:val="single" w:sz="4" w:space="0" w:color="000000"/>
              <w:bottom w:val="single" w:sz="4" w:space="0" w:color="000000"/>
              <w:right w:val="single" w:sz="4" w:space="0" w:color="000000"/>
            </w:tcBorders>
            <w:vAlign w:val="center"/>
          </w:tcPr>
          <w:p w14:paraId="53306243"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Superior to usual care, similar to manual therapy</w:t>
            </w:r>
          </w:p>
        </w:tc>
        <w:tc>
          <w:tcPr>
            <w:tcW w:w="1452" w:type="dxa"/>
            <w:tcBorders>
              <w:top w:val="single" w:sz="4" w:space="0" w:color="000000"/>
              <w:left w:val="single" w:sz="4" w:space="0" w:color="000000"/>
              <w:bottom w:val="single" w:sz="4" w:space="0" w:color="000000"/>
              <w:right w:val="single" w:sz="4" w:space="0" w:color="000000"/>
            </w:tcBorders>
            <w:vAlign w:val="center"/>
          </w:tcPr>
          <w:p w14:paraId="023680F5"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Minimal risk (muscle soreness)</w:t>
            </w:r>
          </w:p>
        </w:tc>
        <w:tc>
          <w:tcPr>
            <w:tcW w:w="1834" w:type="dxa"/>
            <w:tcBorders>
              <w:top w:val="single" w:sz="4" w:space="0" w:color="000000"/>
              <w:left w:val="single" w:sz="4" w:space="0" w:color="000000"/>
              <w:bottom w:val="single" w:sz="4" w:space="0" w:color="000000"/>
              <w:right w:val="single" w:sz="4" w:space="0" w:color="000000"/>
            </w:tcBorders>
            <w:vAlign w:val="center"/>
          </w:tcPr>
          <w:p w14:paraId="7FFDD79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 adherence, improves QoL &amp; function</w:t>
            </w:r>
          </w:p>
        </w:tc>
        <w:tc>
          <w:tcPr>
            <w:tcW w:w="810" w:type="dxa"/>
            <w:tcBorders>
              <w:top w:val="single" w:sz="4" w:space="0" w:color="000000"/>
              <w:left w:val="single" w:sz="4" w:space="0" w:color="000000"/>
              <w:bottom w:val="single" w:sz="4" w:space="0" w:color="000000"/>
              <w:right w:val="single" w:sz="4" w:space="0" w:color="000000"/>
            </w:tcBorders>
            <w:vAlign w:val="center"/>
          </w:tcPr>
          <w:p w14:paraId="4844E2F3"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4"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4</w:t>
              </w:r>
              <w:r w:rsidRPr="00AB551B">
                <w:rPr>
                  <w:rStyle w:val="Hyperlink"/>
                  <w:rFonts w:ascii="Times New Roman" w:hAnsi="Times New Roman" w:cs="Times New Roman"/>
                  <w:color w:val="000000" w:themeColor="text1"/>
                  <w:sz w:val="20"/>
                  <w:lang w:val="en-IN"/>
                </w:rPr>
                <w:t>]</w:t>
              </w:r>
            </w:hyperlink>
          </w:p>
        </w:tc>
      </w:tr>
      <w:tr w:rsidR="00AB551B" w:rsidRPr="00AB551B" w14:paraId="4587996D" w14:textId="77777777" w:rsidTr="00227E48">
        <w:trPr>
          <w:trHeight w:val="1694"/>
        </w:trPr>
        <w:tc>
          <w:tcPr>
            <w:tcW w:w="2070" w:type="dxa"/>
            <w:tcBorders>
              <w:top w:val="single" w:sz="4" w:space="0" w:color="000000"/>
              <w:left w:val="single" w:sz="4" w:space="0" w:color="000000"/>
              <w:bottom w:val="single" w:sz="4" w:space="0" w:color="000000"/>
              <w:right w:val="single" w:sz="4" w:space="0" w:color="000000"/>
            </w:tcBorders>
            <w:vAlign w:val="center"/>
          </w:tcPr>
          <w:p w14:paraId="010A4D1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lastRenderedPageBreak/>
              <w:t>Manual therapy in musculoskeletal disorders</w:t>
            </w:r>
          </w:p>
        </w:tc>
        <w:tc>
          <w:tcPr>
            <w:tcW w:w="1556" w:type="dxa"/>
            <w:tcBorders>
              <w:top w:val="single" w:sz="4" w:space="0" w:color="000000"/>
              <w:left w:val="single" w:sz="4" w:space="0" w:color="000000"/>
              <w:bottom w:val="single" w:sz="4" w:space="0" w:color="000000"/>
              <w:right w:val="single" w:sz="4" w:space="0" w:color="000000"/>
            </w:tcBorders>
            <w:vAlign w:val="center"/>
          </w:tcPr>
          <w:p w14:paraId="033B9F75"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51 RCTs</w:t>
            </w:r>
          </w:p>
        </w:tc>
        <w:tc>
          <w:tcPr>
            <w:tcW w:w="1464" w:type="dxa"/>
            <w:tcBorders>
              <w:top w:val="single" w:sz="4" w:space="0" w:color="000000"/>
              <w:left w:val="single" w:sz="4" w:space="0" w:color="000000"/>
              <w:bottom w:val="single" w:sz="4" w:space="0" w:color="000000"/>
              <w:right w:val="single" w:sz="4" w:space="0" w:color="000000"/>
            </w:tcBorders>
            <w:vAlign w:val="center"/>
          </w:tcPr>
          <w:p w14:paraId="2160FEE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Moderate</w:t>
            </w:r>
          </w:p>
        </w:tc>
        <w:tc>
          <w:tcPr>
            <w:tcW w:w="1704" w:type="dxa"/>
            <w:tcBorders>
              <w:top w:val="single" w:sz="4" w:space="0" w:color="000000"/>
              <w:left w:val="single" w:sz="4" w:space="0" w:color="000000"/>
              <w:bottom w:val="single" w:sz="4" w:space="0" w:color="000000"/>
              <w:right w:val="single" w:sz="4" w:space="0" w:color="000000"/>
            </w:tcBorders>
            <w:vAlign w:val="center"/>
          </w:tcPr>
          <w:p w14:paraId="211FE07C"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Comparable to exercise</w:t>
            </w:r>
          </w:p>
        </w:tc>
        <w:tc>
          <w:tcPr>
            <w:tcW w:w="1452" w:type="dxa"/>
            <w:tcBorders>
              <w:top w:val="single" w:sz="4" w:space="0" w:color="000000"/>
              <w:left w:val="single" w:sz="4" w:space="0" w:color="000000"/>
              <w:bottom w:val="single" w:sz="4" w:space="0" w:color="000000"/>
              <w:right w:val="single" w:sz="4" w:space="0" w:color="000000"/>
            </w:tcBorders>
            <w:vAlign w:val="center"/>
          </w:tcPr>
          <w:p w14:paraId="5EF3CA3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Technique-dependent, therapist variability</w:t>
            </w:r>
          </w:p>
        </w:tc>
        <w:tc>
          <w:tcPr>
            <w:tcW w:w="1834" w:type="dxa"/>
            <w:tcBorders>
              <w:top w:val="single" w:sz="4" w:space="0" w:color="000000"/>
              <w:left w:val="single" w:sz="4" w:space="0" w:color="000000"/>
              <w:bottom w:val="single" w:sz="4" w:space="0" w:color="000000"/>
              <w:right w:val="single" w:sz="4" w:space="0" w:color="000000"/>
            </w:tcBorders>
            <w:vAlign w:val="center"/>
          </w:tcPr>
          <w:p w14:paraId="49A1043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Acceptable adherence, improved patient satisfaction</w:t>
            </w:r>
          </w:p>
        </w:tc>
        <w:tc>
          <w:tcPr>
            <w:tcW w:w="810" w:type="dxa"/>
            <w:tcBorders>
              <w:top w:val="single" w:sz="4" w:space="0" w:color="000000"/>
              <w:left w:val="single" w:sz="4" w:space="0" w:color="000000"/>
              <w:bottom w:val="single" w:sz="4" w:space="0" w:color="000000"/>
              <w:right w:val="single" w:sz="4" w:space="0" w:color="000000"/>
            </w:tcBorders>
            <w:vAlign w:val="center"/>
          </w:tcPr>
          <w:p w14:paraId="412BB9E7"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5"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5</w:t>
              </w:r>
              <w:r w:rsidRPr="00AB551B">
                <w:rPr>
                  <w:rStyle w:val="Hyperlink"/>
                  <w:rFonts w:ascii="Times New Roman" w:hAnsi="Times New Roman" w:cs="Times New Roman"/>
                  <w:color w:val="000000" w:themeColor="text1"/>
                  <w:sz w:val="20"/>
                  <w:lang w:val="en-IN"/>
                </w:rPr>
                <w:t>]</w:t>
              </w:r>
            </w:hyperlink>
          </w:p>
        </w:tc>
      </w:tr>
      <w:tr w:rsidR="00AB551B" w:rsidRPr="00AB551B" w14:paraId="58A12F63" w14:textId="77777777" w:rsidTr="00227E48">
        <w:trPr>
          <w:trHeight w:val="1502"/>
        </w:trPr>
        <w:tc>
          <w:tcPr>
            <w:tcW w:w="2070" w:type="dxa"/>
            <w:tcBorders>
              <w:top w:val="single" w:sz="4" w:space="0" w:color="000000"/>
              <w:left w:val="single" w:sz="4" w:space="0" w:color="000000"/>
              <w:bottom w:val="single" w:sz="4" w:space="0" w:color="000000"/>
              <w:right w:val="single" w:sz="4" w:space="0" w:color="000000"/>
            </w:tcBorders>
            <w:vAlign w:val="center"/>
          </w:tcPr>
          <w:p w14:paraId="7E15C183"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TENS for neuropathic and musculoskeletal pain</w:t>
            </w:r>
          </w:p>
        </w:tc>
        <w:tc>
          <w:tcPr>
            <w:tcW w:w="1556" w:type="dxa"/>
            <w:tcBorders>
              <w:top w:val="single" w:sz="4" w:space="0" w:color="000000"/>
              <w:left w:val="single" w:sz="4" w:space="0" w:color="000000"/>
              <w:bottom w:val="single" w:sz="4" w:space="0" w:color="000000"/>
              <w:right w:val="single" w:sz="4" w:space="0" w:color="000000"/>
            </w:tcBorders>
            <w:vAlign w:val="center"/>
          </w:tcPr>
          <w:p w14:paraId="23ADB36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49 RCTs, &gt;3,000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59C85726"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Low–moderate</w:t>
            </w:r>
          </w:p>
        </w:tc>
        <w:tc>
          <w:tcPr>
            <w:tcW w:w="1704" w:type="dxa"/>
            <w:tcBorders>
              <w:top w:val="single" w:sz="4" w:space="0" w:color="000000"/>
              <w:left w:val="single" w:sz="4" w:space="0" w:color="000000"/>
              <w:bottom w:val="single" w:sz="4" w:space="0" w:color="000000"/>
              <w:right w:val="single" w:sz="4" w:space="0" w:color="000000"/>
            </w:tcBorders>
            <w:vAlign w:val="center"/>
          </w:tcPr>
          <w:p w14:paraId="75C439BF"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Better than placebo, but inconsistent vs. pharmacological</w:t>
            </w:r>
          </w:p>
        </w:tc>
        <w:tc>
          <w:tcPr>
            <w:tcW w:w="1452" w:type="dxa"/>
            <w:tcBorders>
              <w:top w:val="single" w:sz="4" w:space="0" w:color="000000"/>
              <w:left w:val="single" w:sz="4" w:space="0" w:color="000000"/>
              <w:bottom w:val="single" w:sz="4" w:space="0" w:color="000000"/>
              <w:right w:val="single" w:sz="4" w:space="0" w:color="000000"/>
            </w:tcBorders>
            <w:vAlign w:val="center"/>
          </w:tcPr>
          <w:p w14:paraId="03E858A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Tolerance with prolonged use</w:t>
            </w:r>
          </w:p>
        </w:tc>
        <w:tc>
          <w:tcPr>
            <w:tcW w:w="1834" w:type="dxa"/>
            <w:tcBorders>
              <w:top w:val="single" w:sz="4" w:space="0" w:color="000000"/>
              <w:left w:val="single" w:sz="4" w:space="0" w:color="000000"/>
              <w:bottom w:val="single" w:sz="4" w:space="0" w:color="000000"/>
              <w:right w:val="single" w:sz="4" w:space="0" w:color="000000"/>
            </w:tcBorders>
            <w:vAlign w:val="center"/>
          </w:tcPr>
          <w:p w14:paraId="039D2F9F"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Adherence variable, improves functional QoL</w:t>
            </w:r>
          </w:p>
        </w:tc>
        <w:tc>
          <w:tcPr>
            <w:tcW w:w="810" w:type="dxa"/>
            <w:tcBorders>
              <w:top w:val="single" w:sz="4" w:space="0" w:color="000000"/>
              <w:left w:val="single" w:sz="4" w:space="0" w:color="000000"/>
              <w:bottom w:val="single" w:sz="4" w:space="0" w:color="000000"/>
              <w:right w:val="single" w:sz="4" w:space="0" w:color="000000"/>
            </w:tcBorders>
            <w:vAlign w:val="center"/>
          </w:tcPr>
          <w:p w14:paraId="4038A866"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6"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6</w:t>
              </w:r>
              <w:r w:rsidRPr="00AB551B">
                <w:rPr>
                  <w:rStyle w:val="Hyperlink"/>
                  <w:rFonts w:ascii="Times New Roman" w:hAnsi="Times New Roman" w:cs="Times New Roman"/>
                  <w:color w:val="000000" w:themeColor="text1"/>
                  <w:sz w:val="20"/>
                  <w:lang w:val="en-IN"/>
                </w:rPr>
                <w:t>]</w:t>
              </w:r>
            </w:hyperlink>
          </w:p>
        </w:tc>
      </w:tr>
      <w:tr w:rsidR="00AB551B" w:rsidRPr="00AB551B" w14:paraId="01FAD251" w14:textId="77777777" w:rsidTr="00227E48">
        <w:trPr>
          <w:trHeight w:val="1718"/>
        </w:trPr>
        <w:tc>
          <w:tcPr>
            <w:tcW w:w="2070" w:type="dxa"/>
            <w:tcBorders>
              <w:top w:val="single" w:sz="4" w:space="0" w:color="000000"/>
              <w:left w:val="single" w:sz="4" w:space="0" w:color="000000"/>
              <w:bottom w:val="single" w:sz="4" w:space="0" w:color="000000"/>
              <w:right w:val="single" w:sz="4" w:space="0" w:color="000000"/>
            </w:tcBorders>
            <w:vAlign w:val="center"/>
          </w:tcPr>
          <w:p w14:paraId="3AA3DD1B"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Multimodal physiotherapy in osteoarthritis</w:t>
            </w:r>
          </w:p>
        </w:tc>
        <w:tc>
          <w:tcPr>
            <w:tcW w:w="1556" w:type="dxa"/>
            <w:tcBorders>
              <w:top w:val="single" w:sz="4" w:space="0" w:color="000000"/>
              <w:left w:val="single" w:sz="4" w:space="0" w:color="000000"/>
              <w:bottom w:val="single" w:sz="4" w:space="0" w:color="000000"/>
              <w:right w:val="single" w:sz="4" w:space="0" w:color="000000"/>
            </w:tcBorders>
            <w:vAlign w:val="center"/>
          </w:tcPr>
          <w:p w14:paraId="3B661D1D"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60 studies, &gt;10,000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5777C63D"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w:t>
            </w:r>
          </w:p>
        </w:tc>
        <w:tc>
          <w:tcPr>
            <w:tcW w:w="1704" w:type="dxa"/>
            <w:tcBorders>
              <w:top w:val="single" w:sz="4" w:space="0" w:color="000000"/>
              <w:left w:val="single" w:sz="4" w:space="0" w:color="000000"/>
              <w:bottom w:val="single" w:sz="4" w:space="0" w:color="000000"/>
              <w:right w:val="single" w:sz="4" w:space="0" w:color="000000"/>
            </w:tcBorders>
            <w:vAlign w:val="center"/>
          </w:tcPr>
          <w:p w14:paraId="28FCF0CC"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More effective than single therapy</w:t>
            </w:r>
          </w:p>
        </w:tc>
        <w:tc>
          <w:tcPr>
            <w:tcW w:w="1452" w:type="dxa"/>
            <w:tcBorders>
              <w:top w:val="single" w:sz="4" w:space="0" w:color="000000"/>
              <w:left w:val="single" w:sz="4" w:space="0" w:color="000000"/>
              <w:bottom w:val="single" w:sz="4" w:space="0" w:color="000000"/>
              <w:right w:val="single" w:sz="4" w:space="0" w:color="000000"/>
            </w:tcBorders>
            <w:vAlign w:val="center"/>
          </w:tcPr>
          <w:p w14:paraId="0AAE8566"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Limited access, therapist availability</w:t>
            </w:r>
          </w:p>
        </w:tc>
        <w:tc>
          <w:tcPr>
            <w:tcW w:w="1834" w:type="dxa"/>
            <w:tcBorders>
              <w:top w:val="single" w:sz="4" w:space="0" w:color="000000"/>
              <w:left w:val="single" w:sz="4" w:space="0" w:color="000000"/>
              <w:bottom w:val="single" w:sz="4" w:space="0" w:color="000000"/>
              <w:right w:val="single" w:sz="4" w:space="0" w:color="000000"/>
            </w:tcBorders>
            <w:vAlign w:val="center"/>
          </w:tcPr>
          <w:p w14:paraId="644051E0"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Improved QoL and function, high adherence</w:t>
            </w:r>
          </w:p>
        </w:tc>
        <w:tc>
          <w:tcPr>
            <w:tcW w:w="810" w:type="dxa"/>
            <w:tcBorders>
              <w:top w:val="single" w:sz="4" w:space="0" w:color="000000"/>
              <w:left w:val="single" w:sz="4" w:space="0" w:color="000000"/>
              <w:bottom w:val="single" w:sz="4" w:space="0" w:color="000000"/>
              <w:right w:val="single" w:sz="4" w:space="0" w:color="000000"/>
            </w:tcBorders>
            <w:vAlign w:val="center"/>
          </w:tcPr>
          <w:p w14:paraId="1291E495"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7"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7</w:t>
              </w:r>
              <w:r w:rsidRPr="00AB551B">
                <w:rPr>
                  <w:rStyle w:val="Hyperlink"/>
                  <w:rFonts w:ascii="Times New Roman" w:hAnsi="Times New Roman" w:cs="Times New Roman"/>
                  <w:color w:val="000000" w:themeColor="text1"/>
                  <w:sz w:val="20"/>
                  <w:lang w:val="en-IN"/>
                </w:rPr>
                <w:t>]</w:t>
              </w:r>
            </w:hyperlink>
          </w:p>
        </w:tc>
      </w:tr>
      <w:tr w:rsidR="00AB551B" w:rsidRPr="00AB551B" w14:paraId="799F9640" w14:textId="77777777" w:rsidTr="00227E48">
        <w:trPr>
          <w:trHeight w:val="1778"/>
        </w:trPr>
        <w:tc>
          <w:tcPr>
            <w:tcW w:w="2070" w:type="dxa"/>
            <w:tcBorders>
              <w:top w:val="single" w:sz="4" w:space="0" w:color="000000"/>
              <w:left w:val="single" w:sz="4" w:space="0" w:color="000000"/>
              <w:bottom w:val="single" w:sz="4" w:space="0" w:color="000000"/>
              <w:right w:val="single" w:sz="4" w:space="0" w:color="000000"/>
            </w:tcBorders>
            <w:vAlign w:val="center"/>
          </w:tcPr>
          <w:p w14:paraId="0E632B05"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Cognitive Behavioral Therapy (CBT) for chronic pain</w:t>
            </w:r>
          </w:p>
        </w:tc>
        <w:tc>
          <w:tcPr>
            <w:tcW w:w="1556" w:type="dxa"/>
            <w:tcBorders>
              <w:top w:val="single" w:sz="4" w:space="0" w:color="000000"/>
              <w:left w:val="single" w:sz="4" w:space="0" w:color="000000"/>
              <w:bottom w:val="single" w:sz="4" w:space="0" w:color="000000"/>
              <w:right w:val="single" w:sz="4" w:space="0" w:color="000000"/>
            </w:tcBorders>
            <w:vAlign w:val="center"/>
          </w:tcPr>
          <w:p w14:paraId="0D761E23"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59 studies, &gt;8,000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076EDB7E"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Moderate</w:t>
            </w:r>
          </w:p>
        </w:tc>
        <w:tc>
          <w:tcPr>
            <w:tcW w:w="1704" w:type="dxa"/>
            <w:tcBorders>
              <w:top w:val="single" w:sz="4" w:space="0" w:color="000000"/>
              <w:left w:val="single" w:sz="4" w:space="0" w:color="000000"/>
              <w:bottom w:val="single" w:sz="4" w:space="0" w:color="000000"/>
              <w:right w:val="single" w:sz="4" w:space="0" w:color="000000"/>
            </w:tcBorders>
            <w:vAlign w:val="center"/>
          </w:tcPr>
          <w:p w14:paraId="42E71BC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Improves pain coping, not superior in pain intensity reduction</w:t>
            </w:r>
          </w:p>
        </w:tc>
        <w:tc>
          <w:tcPr>
            <w:tcW w:w="1452" w:type="dxa"/>
            <w:tcBorders>
              <w:top w:val="single" w:sz="4" w:space="0" w:color="000000"/>
              <w:left w:val="single" w:sz="4" w:space="0" w:color="000000"/>
              <w:bottom w:val="single" w:sz="4" w:space="0" w:color="000000"/>
              <w:right w:val="single" w:sz="4" w:space="0" w:color="000000"/>
            </w:tcBorders>
            <w:vAlign w:val="center"/>
          </w:tcPr>
          <w:p w14:paraId="3721AB89"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Requires trained specialists</w:t>
            </w:r>
          </w:p>
        </w:tc>
        <w:tc>
          <w:tcPr>
            <w:tcW w:w="1834" w:type="dxa"/>
            <w:tcBorders>
              <w:top w:val="single" w:sz="4" w:space="0" w:color="000000"/>
              <w:left w:val="single" w:sz="4" w:space="0" w:color="000000"/>
              <w:bottom w:val="single" w:sz="4" w:space="0" w:color="000000"/>
              <w:right w:val="single" w:sz="4" w:space="0" w:color="000000"/>
            </w:tcBorders>
            <w:vAlign w:val="center"/>
          </w:tcPr>
          <w:p w14:paraId="21BE857B"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Good adherence, improves mental health and QoL</w:t>
            </w:r>
          </w:p>
        </w:tc>
        <w:tc>
          <w:tcPr>
            <w:tcW w:w="810" w:type="dxa"/>
            <w:tcBorders>
              <w:top w:val="single" w:sz="4" w:space="0" w:color="000000"/>
              <w:left w:val="single" w:sz="4" w:space="0" w:color="000000"/>
              <w:bottom w:val="single" w:sz="4" w:space="0" w:color="000000"/>
              <w:right w:val="single" w:sz="4" w:space="0" w:color="000000"/>
            </w:tcBorders>
            <w:vAlign w:val="center"/>
          </w:tcPr>
          <w:p w14:paraId="251389F1"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8"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8</w:t>
              </w:r>
              <w:r w:rsidRPr="00AB551B">
                <w:rPr>
                  <w:rStyle w:val="Hyperlink"/>
                  <w:rFonts w:ascii="Times New Roman" w:hAnsi="Times New Roman" w:cs="Times New Roman"/>
                  <w:color w:val="000000" w:themeColor="text1"/>
                  <w:sz w:val="20"/>
                  <w:lang w:val="en-IN"/>
                </w:rPr>
                <w:t>]</w:t>
              </w:r>
            </w:hyperlink>
          </w:p>
        </w:tc>
      </w:tr>
      <w:tr w:rsidR="00AB551B" w:rsidRPr="00AB551B" w14:paraId="1482E989" w14:textId="77777777" w:rsidTr="00227E48">
        <w:trPr>
          <w:trHeight w:val="1766"/>
        </w:trPr>
        <w:tc>
          <w:tcPr>
            <w:tcW w:w="2070" w:type="dxa"/>
            <w:tcBorders>
              <w:top w:val="single" w:sz="4" w:space="0" w:color="000000"/>
              <w:left w:val="single" w:sz="4" w:space="0" w:color="000000"/>
              <w:bottom w:val="single" w:sz="4" w:space="0" w:color="000000"/>
              <w:right w:val="single" w:sz="4" w:space="0" w:color="000000"/>
            </w:tcBorders>
            <w:vAlign w:val="center"/>
          </w:tcPr>
          <w:p w14:paraId="7A53FBD3"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Acupuncture for chronic pain (back, OA, headache)</w:t>
            </w:r>
          </w:p>
        </w:tc>
        <w:tc>
          <w:tcPr>
            <w:tcW w:w="1556" w:type="dxa"/>
            <w:tcBorders>
              <w:top w:val="single" w:sz="4" w:space="0" w:color="000000"/>
              <w:left w:val="single" w:sz="4" w:space="0" w:color="000000"/>
              <w:bottom w:val="single" w:sz="4" w:space="0" w:color="000000"/>
              <w:right w:val="single" w:sz="4" w:space="0" w:color="000000"/>
            </w:tcBorders>
            <w:vAlign w:val="center"/>
          </w:tcPr>
          <w:p w14:paraId="02F0C11F"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39 RCTs, &gt;20,000 patients</w:t>
            </w:r>
          </w:p>
        </w:tc>
        <w:tc>
          <w:tcPr>
            <w:tcW w:w="1464" w:type="dxa"/>
            <w:tcBorders>
              <w:top w:val="single" w:sz="4" w:space="0" w:color="000000"/>
              <w:left w:val="single" w:sz="4" w:space="0" w:color="000000"/>
              <w:bottom w:val="single" w:sz="4" w:space="0" w:color="000000"/>
              <w:right w:val="single" w:sz="4" w:space="0" w:color="000000"/>
            </w:tcBorders>
            <w:vAlign w:val="center"/>
          </w:tcPr>
          <w:p w14:paraId="692D724A"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w:t>
            </w:r>
          </w:p>
        </w:tc>
        <w:tc>
          <w:tcPr>
            <w:tcW w:w="1704" w:type="dxa"/>
            <w:tcBorders>
              <w:top w:val="single" w:sz="4" w:space="0" w:color="000000"/>
              <w:left w:val="single" w:sz="4" w:space="0" w:color="000000"/>
              <w:bottom w:val="single" w:sz="4" w:space="0" w:color="000000"/>
              <w:right w:val="single" w:sz="4" w:space="0" w:color="000000"/>
            </w:tcBorders>
            <w:vAlign w:val="center"/>
          </w:tcPr>
          <w:p w14:paraId="0F866B49"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Superior to sham and usual care</w:t>
            </w:r>
          </w:p>
        </w:tc>
        <w:tc>
          <w:tcPr>
            <w:tcW w:w="1452" w:type="dxa"/>
            <w:tcBorders>
              <w:top w:val="single" w:sz="4" w:space="0" w:color="000000"/>
              <w:left w:val="single" w:sz="4" w:space="0" w:color="000000"/>
              <w:bottom w:val="single" w:sz="4" w:space="0" w:color="000000"/>
              <w:right w:val="single" w:sz="4" w:space="0" w:color="000000"/>
            </w:tcBorders>
            <w:vAlign w:val="center"/>
          </w:tcPr>
          <w:p w14:paraId="32CE974D"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Mild adverse effects (bruising)</w:t>
            </w:r>
          </w:p>
        </w:tc>
        <w:tc>
          <w:tcPr>
            <w:tcW w:w="1834" w:type="dxa"/>
            <w:tcBorders>
              <w:top w:val="single" w:sz="4" w:space="0" w:color="000000"/>
              <w:left w:val="single" w:sz="4" w:space="0" w:color="000000"/>
              <w:bottom w:val="single" w:sz="4" w:space="0" w:color="000000"/>
              <w:right w:val="single" w:sz="4" w:space="0" w:color="000000"/>
            </w:tcBorders>
            <w:vAlign w:val="center"/>
          </w:tcPr>
          <w:p w14:paraId="3A8F3F43"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 patient acceptance, improves QoL</w:t>
            </w:r>
          </w:p>
        </w:tc>
        <w:tc>
          <w:tcPr>
            <w:tcW w:w="810" w:type="dxa"/>
            <w:tcBorders>
              <w:top w:val="single" w:sz="4" w:space="0" w:color="000000"/>
              <w:left w:val="single" w:sz="4" w:space="0" w:color="000000"/>
              <w:bottom w:val="single" w:sz="4" w:space="0" w:color="000000"/>
              <w:right w:val="single" w:sz="4" w:space="0" w:color="000000"/>
            </w:tcBorders>
            <w:vAlign w:val="center"/>
          </w:tcPr>
          <w:p w14:paraId="247AC276"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19" w:anchor="chunk_ef16f47323e08d2c5a9b19f229aba33e01aabe3b8562b7a5cc5def6f6ce7b57d" w:history="1">
              <w:r w:rsidRPr="00AB551B">
                <w:rPr>
                  <w:rStyle w:val="Hyperlink"/>
                  <w:rFonts w:ascii="Times New Roman" w:hAnsi="Times New Roman" w:cs="Times New Roman"/>
                  <w:color w:val="000000" w:themeColor="text1"/>
                  <w:sz w:val="20"/>
                  <w:lang w:val="en-IN"/>
                </w:rPr>
                <w:t>[</w:t>
              </w:r>
              <w:r w:rsidRPr="00AB551B">
                <w:rPr>
                  <w:rStyle w:val="Hyperlink"/>
                  <w:rFonts w:ascii="Times New Roman" w:hAnsi="Times New Roman" w:cs="Times New Roman"/>
                  <w:color w:val="000000" w:themeColor="text1"/>
                  <w:sz w:val="20"/>
                </w:rPr>
                <w:t>9</w:t>
              </w:r>
              <w:r w:rsidRPr="00AB551B">
                <w:rPr>
                  <w:rStyle w:val="Hyperlink"/>
                  <w:rFonts w:ascii="Times New Roman" w:hAnsi="Times New Roman" w:cs="Times New Roman"/>
                  <w:color w:val="000000" w:themeColor="text1"/>
                  <w:sz w:val="20"/>
                  <w:lang w:val="en-IN"/>
                </w:rPr>
                <w:t>]</w:t>
              </w:r>
            </w:hyperlink>
          </w:p>
        </w:tc>
      </w:tr>
      <w:tr w:rsidR="00AB551B" w:rsidRPr="00AB551B" w14:paraId="130AFEAB" w14:textId="77777777" w:rsidTr="00227E48">
        <w:trPr>
          <w:trHeight w:val="1968"/>
        </w:trPr>
        <w:tc>
          <w:tcPr>
            <w:tcW w:w="2070" w:type="dxa"/>
            <w:tcBorders>
              <w:top w:val="single" w:sz="4" w:space="0" w:color="000000"/>
              <w:left w:val="single" w:sz="4" w:space="0" w:color="000000"/>
              <w:bottom w:val="single" w:sz="4" w:space="0" w:color="000000"/>
              <w:right w:val="single" w:sz="4" w:space="0" w:color="000000"/>
            </w:tcBorders>
            <w:vAlign w:val="center"/>
          </w:tcPr>
          <w:p w14:paraId="7D45D6E0"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Multimodal approach (pharma + physiotherapy)</w:t>
            </w:r>
          </w:p>
        </w:tc>
        <w:tc>
          <w:tcPr>
            <w:tcW w:w="1556" w:type="dxa"/>
            <w:tcBorders>
              <w:top w:val="single" w:sz="4" w:space="0" w:color="000000"/>
              <w:left w:val="single" w:sz="4" w:space="0" w:color="000000"/>
              <w:bottom w:val="single" w:sz="4" w:space="0" w:color="000000"/>
              <w:right w:val="single" w:sz="4" w:space="0" w:color="000000"/>
            </w:tcBorders>
            <w:vAlign w:val="center"/>
          </w:tcPr>
          <w:p w14:paraId="7B5152B9"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42 studies</w:t>
            </w:r>
          </w:p>
        </w:tc>
        <w:tc>
          <w:tcPr>
            <w:tcW w:w="1464" w:type="dxa"/>
            <w:tcBorders>
              <w:top w:val="single" w:sz="4" w:space="0" w:color="000000"/>
              <w:left w:val="single" w:sz="4" w:space="0" w:color="000000"/>
              <w:bottom w:val="single" w:sz="4" w:space="0" w:color="000000"/>
              <w:right w:val="single" w:sz="4" w:space="0" w:color="000000"/>
            </w:tcBorders>
            <w:vAlign w:val="center"/>
          </w:tcPr>
          <w:p w14:paraId="79DF6D14"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w:t>
            </w:r>
          </w:p>
        </w:tc>
        <w:tc>
          <w:tcPr>
            <w:tcW w:w="1704" w:type="dxa"/>
            <w:tcBorders>
              <w:top w:val="single" w:sz="4" w:space="0" w:color="000000"/>
              <w:left w:val="single" w:sz="4" w:space="0" w:color="000000"/>
              <w:bottom w:val="single" w:sz="4" w:space="0" w:color="000000"/>
              <w:right w:val="single" w:sz="4" w:space="0" w:color="000000"/>
            </w:tcBorders>
            <w:vAlign w:val="center"/>
          </w:tcPr>
          <w:p w14:paraId="0B688B6F"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Superior to either alone</w:t>
            </w:r>
          </w:p>
        </w:tc>
        <w:tc>
          <w:tcPr>
            <w:tcW w:w="1452" w:type="dxa"/>
            <w:tcBorders>
              <w:top w:val="single" w:sz="4" w:space="0" w:color="000000"/>
              <w:left w:val="single" w:sz="4" w:space="0" w:color="000000"/>
              <w:bottom w:val="single" w:sz="4" w:space="0" w:color="000000"/>
              <w:right w:val="single" w:sz="4" w:space="0" w:color="000000"/>
            </w:tcBorders>
            <w:vAlign w:val="center"/>
          </w:tcPr>
          <w:p w14:paraId="44B9DBD8"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Cost, complexity</w:t>
            </w:r>
          </w:p>
        </w:tc>
        <w:tc>
          <w:tcPr>
            <w:tcW w:w="1834" w:type="dxa"/>
            <w:tcBorders>
              <w:top w:val="single" w:sz="4" w:space="0" w:color="000000"/>
              <w:left w:val="single" w:sz="4" w:space="0" w:color="000000"/>
              <w:bottom w:val="single" w:sz="4" w:space="0" w:color="000000"/>
              <w:right w:val="single" w:sz="4" w:space="0" w:color="000000"/>
            </w:tcBorders>
            <w:vAlign w:val="center"/>
          </w:tcPr>
          <w:p w14:paraId="2933C1FD"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r w:rsidRPr="00AB551B">
              <w:rPr>
                <w:rFonts w:ascii="Times New Roman" w:eastAsia="SimSun" w:hAnsi="Times New Roman" w:cs="Times New Roman"/>
                <w:color w:val="000000"/>
                <w:sz w:val="20"/>
                <w:lang w:eastAsia="zh-CN" w:bidi="ar"/>
              </w:rPr>
              <w:t>High satisfaction, better adherence and QoL outcomes</w:t>
            </w:r>
          </w:p>
        </w:tc>
        <w:tc>
          <w:tcPr>
            <w:tcW w:w="810" w:type="dxa"/>
            <w:tcBorders>
              <w:top w:val="single" w:sz="4" w:space="0" w:color="000000"/>
              <w:left w:val="single" w:sz="4" w:space="0" w:color="000000"/>
              <w:bottom w:val="single" w:sz="4" w:space="0" w:color="000000"/>
              <w:right w:val="single" w:sz="4" w:space="0" w:color="000000"/>
            </w:tcBorders>
            <w:vAlign w:val="center"/>
          </w:tcPr>
          <w:p w14:paraId="41A5DC8E" w14:textId="77777777" w:rsidR="00AB551B" w:rsidRPr="00AB551B" w:rsidRDefault="00AB551B" w:rsidP="00227E48">
            <w:pPr>
              <w:spacing w:line="276" w:lineRule="auto"/>
              <w:jc w:val="center"/>
              <w:textAlignment w:val="center"/>
              <w:rPr>
                <w:rFonts w:ascii="Times New Roman" w:hAnsi="Times New Roman" w:cs="Times New Roman"/>
                <w:color w:val="000000"/>
                <w:sz w:val="20"/>
              </w:rPr>
            </w:pPr>
            <w:hyperlink r:id="rId20" w:anchor="chunk_ef16f47323e08d2c5a9b19f229aba33e01aabe3b8562b7a5cc5def6f6ce7b57d" w:history="1">
              <w:r w:rsidRPr="00AB551B">
                <w:rPr>
                  <w:rStyle w:val="Hyperlink"/>
                  <w:rFonts w:ascii="Times New Roman" w:hAnsi="Times New Roman" w:cs="Times New Roman"/>
                  <w:color w:val="000000" w:themeColor="text1"/>
                  <w:sz w:val="20"/>
                  <w:lang w:val="en-IN"/>
                </w:rPr>
                <w:t>[1</w:t>
              </w:r>
              <w:r w:rsidRPr="00AB551B">
                <w:rPr>
                  <w:rStyle w:val="Hyperlink"/>
                  <w:rFonts w:ascii="Times New Roman" w:hAnsi="Times New Roman" w:cs="Times New Roman"/>
                  <w:color w:val="000000" w:themeColor="text1"/>
                  <w:sz w:val="20"/>
                </w:rPr>
                <w:t>0</w:t>
              </w:r>
              <w:r w:rsidRPr="00AB551B">
                <w:rPr>
                  <w:rStyle w:val="Hyperlink"/>
                  <w:rFonts w:ascii="Times New Roman" w:hAnsi="Times New Roman" w:cs="Times New Roman"/>
                  <w:color w:val="000000" w:themeColor="text1"/>
                  <w:sz w:val="20"/>
                  <w:lang w:val="en-IN"/>
                </w:rPr>
                <w:t>]</w:t>
              </w:r>
            </w:hyperlink>
          </w:p>
        </w:tc>
      </w:tr>
    </w:tbl>
    <w:p w14:paraId="27D899C0" w14:textId="77777777" w:rsidR="00AB551B" w:rsidRPr="00AB551B" w:rsidRDefault="00AB551B" w:rsidP="00AB551B">
      <w:pPr>
        <w:spacing w:after="210" w:line="276" w:lineRule="auto"/>
        <w:jc w:val="both"/>
        <w:rPr>
          <w:rFonts w:ascii="Times New Roman" w:hAnsi="Times New Roman" w:cs="Times New Roman"/>
          <w:sz w:val="24"/>
          <w:szCs w:val="24"/>
        </w:rPr>
      </w:pPr>
      <w:r w:rsidRPr="00AB551B">
        <w:rPr>
          <w:rFonts w:ascii="Times New Roman" w:eastAsia="SimSun" w:hAnsi="Times New Roman" w:cs="Times New Roman"/>
          <w:b/>
          <w:bCs/>
          <w:sz w:val="24"/>
          <w:szCs w:val="24"/>
        </w:rPr>
        <w:t xml:space="preserve">Table 1. </w:t>
      </w:r>
      <w:r w:rsidRPr="00AB551B">
        <w:rPr>
          <w:rFonts w:ascii="Times New Roman" w:eastAsia="SimSun" w:hAnsi="Times New Roman" w:cs="Times New Roman"/>
          <w:sz w:val="24"/>
          <w:szCs w:val="24"/>
        </w:rPr>
        <w:t>Clinical evidence from systematic reviews and meta-analyses on the efficacy, limitations, and patient-centered outcomes of pharmacological and non-pharmacological interventions in chronic pain management.</w:t>
      </w:r>
    </w:p>
    <w:p w14:paraId="3B8F13FF" w14:textId="77777777" w:rsidR="00AB551B" w:rsidRPr="00AB551B" w:rsidRDefault="00AB551B" w:rsidP="00AB551B">
      <w:pPr>
        <w:spacing w:after="210" w:line="276" w:lineRule="auto"/>
        <w:jc w:val="both"/>
        <w:rPr>
          <w:rFonts w:ascii="Times New Roman" w:hAnsi="Times New Roman" w:cs="Times New Roman"/>
          <w:b/>
          <w:bCs/>
          <w:sz w:val="24"/>
          <w:szCs w:val="24"/>
          <w:lang w:val="en-IN"/>
        </w:rPr>
      </w:pPr>
      <w:r w:rsidRPr="00AB551B">
        <w:rPr>
          <w:rFonts w:ascii="Times New Roman" w:hAnsi="Times New Roman" w:cs="Times New Roman"/>
          <w:b/>
          <w:bCs/>
          <w:sz w:val="24"/>
          <w:szCs w:val="24"/>
          <w:lang w:val="en-IN"/>
        </w:rPr>
        <w:t>6. Emerging Technologies and Future Directions</w:t>
      </w:r>
    </w:p>
    <w:p w14:paraId="7AFEEEC8"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Digital and extended reality (XR) therapeutics are emerging as promising tools for non-pharmacological pain management</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 Virtual reality (VR) is a novel method for chronic pain management</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 XR technologies, including VR and augmented reality (AR), can provide immersive and interactive experiences that can help to reduce pain, improve mood, and enhance coping strategies</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w:t>
      </w:r>
      <w:hyperlink r:id="rId21" w:anchor="chunk_9ac06d4fd67c98f5622e78c88bcf68bb6c12410494ddb20461fdf14a10c0cd05" w:history="1"/>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 xml:space="preserve">VR interventions can be used to create distracting and engaging environments </w:t>
      </w:r>
      <w:r w:rsidRPr="00AB551B">
        <w:rPr>
          <w:rFonts w:ascii="Times New Roman" w:hAnsi="Times New Roman" w:cs="Times New Roman"/>
          <w:color w:val="000000" w:themeColor="text1"/>
          <w:sz w:val="24"/>
          <w:szCs w:val="24"/>
          <w:lang w:val="en-IN"/>
        </w:rPr>
        <w:lastRenderedPageBreak/>
        <w:t>that can divert attention away from pain</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 AR interventions can overlay digital information onto the real world, providing real-time feedback and guidance during exercise and rehabilitation</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 These technologies have the potential to revolutionize pain management by providing accessible, engaging, and personalized treatment options</w:t>
      </w:r>
      <w:r w:rsidRPr="00AB551B">
        <w:rPr>
          <w:rFonts w:ascii="Times New Roman" w:hAnsi="Times New Roman" w:cs="Times New Roman"/>
          <w:color w:val="000000" w:themeColor="text1"/>
          <w:sz w:val="24"/>
          <w:szCs w:val="24"/>
          <w:vertAlign w:val="superscript"/>
          <w:lang w:val="en-IN"/>
        </w:rPr>
        <w:t>6</w:t>
      </w:r>
      <w:r w:rsidRPr="00AB551B">
        <w:rPr>
          <w:rFonts w:ascii="Times New Roman" w:hAnsi="Times New Roman" w:cs="Times New Roman"/>
          <w:color w:val="000000" w:themeColor="text1"/>
          <w:sz w:val="24"/>
          <w:szCs w:val="24"/>
          <w:lang w:val="en-IN"/>
        </w:rPr>
        <w:t> .</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The integration of multimodal approaches in clinical practice is essential for providing comprehensive and patient-centered pain management</w:t>
      </w:r>
      <w:r w:rsidRPr="00AB551B">
        <w:rPr>
          <w:rFonts w:ascii="Times New Roman" w:hAnsi="Times New Roman" w:cs="Times New Roman"/>
          <w:color w:val="000000" w:themeColor="text1"/>
          <w:sz w:val="24"/>
          <w:szCs w:val="24"/>
          <w:vertAlign w:val="superscript"/>
          <w:lang w:val="en-IN"/>
        </w:rPr>
        <w:t>9,10</w:t>
      </w:r>
      <w:r w:rsidRPr="00AB551B">
        <w:rPr>
          <w:rFonts w:ascii="Times New Roman" w:hAnsi="Times New Roman" w:cs="Times New Roman"/>
          <w:color w:val="000000" w:themeColor="text1"/>
          <w:sz w:val="24"/>
          <w:szCs w:val="24"/>
          <w:lang w:val="en-IN"/>
        </w:rPr>
        <w:t> . Multimodal pain management involves the combination of different treatment modalities, such as pharmacological interventions, non-pharmacological therapies, and psychological support, to address the multiple dimensions of chronic pain</w:t>
      </w:r>
      <w:r w:rsidRPr="00AB551B">
        <w:rPr>
          <w:rFonts w:ascii="Times New Roman" w:hAnsi="Times New Roman" w:cs="Times New Roman"/>
          <w:color w:val="000000" w:themeColor="text1"/>
          <w:sz w:val="24"/>
          <w:szCs w:val="24"/>
          <w:vertAlign w:val="superscript"/>
          <w:lang w:val="en-IN"/>
        </w:rPr>
        <w:t>9</w:t>
      </w:r>
      <w:r w:rsidRPr="00AB551B">
        <w:rPr>
          <w:rFonts w:ascii="Times New Roman" w:hAnsi="Times New Roman" w:cs="Times New Roman"/>
          <w:color w:val="000000" w:themeColor="text1"/>
          <w:sz w:val="24"/>
          <w:szCs w:val="24"/>
          <w:lang w:val="en-IN"/>
        </w:rPr>
        <w:t>. By integrating different approaches, clinicians can tailor treatment plans to meet the specific needs of each patient</w:t>
      </w:r>
      <w:r w:rsidRPr="00AB551B">
        <w:rPr>
          <w:rFonts w:ascii="Times New Roman" w:hAnsi="Times New Roman" w:cs="Times New Roman"/>
          <w:color w:val="000000" w:themeColor="text1"/>
          <w:sz w:val="24"/>
          <w:szCs w:val="24"/>
          <w:vertAlign w:val="superscript"/>
          <w:lang w:val="en-IN"/>
        </w:rPr>
        <w:t>10</w:t>
      </w:r>
      <w:r w:rsidRPr="00AB551B">
        <w:rPr>
          <w:rFonts w:ascii="Times New Roman" w:hAnsi="Times New Roman" w:cs="Times New Roman"/>
          <w:color w:val="000000" w:themeColor="text1"/>
          <w:sz w:val="24"/>
          <w:szCs w:val="24"/>
          <w:lang w:val="en-IN"/>
        </w:rPr>
        <w:t>.</w:t>
      </w:r>
      <w:r w:rsidRPr="00AB551B">
        <w:rPr>
          <w:rFonts w:ascii="Times New Roman" w:hAnsi="Times New Roman" w:cs="Times New Roman"/>
          <w:color w:val="000000" w:themeColor="text1"/>
          <w:sz w:val="24"/>
          <w:szCs w:val="24"/>
        </w:rPr>
        <w:t xml:space="preserve"> </w:t>
      </w:r>
      <w:r w:rsidRPr="00AB551B">
        <w:rPr>
          <w:rFonts w:ascii="Times New Roman" w:hAnsi="Times New Roman" w:cs="Times New Roman"/>
          <w:color w:val="000000" w:themeColor="text1"/>
          <w:sz w:val="24"/>
          <w:szCs w:val="24"/>
          <w:lang w:val="en-IN"/>
        </w:rPr>
        <w:t>A multidisciplinary approach, involving a team of healthcare professionals from different disciplines, such as physicians, physiotherapists, psychologists, and occupational therapists, is often used to deliver multimodal pain management</w:t>
      </w:r>
      <w:r w:rsidRPr="00AB551B">
        <w:rPr>
          <w:rFonts w:ascii="Times New Roman" w:hAnsi="Times New Roman" w:cs="Times New Roman"/>
          <w:color w:val="000000" w:themeColor="text1"/>
          <w:sz w:val="24"/>
          <w:szCs w:val="24"/>
          <w:vertAlign w:val="superscript"/>
          <w:lang w:val="en-IN"/>
        </w:rPr>
        <w:t>10</w:t>
      </w:r>
      <w:r w:rsidRPr="00AB551B">
        <w:rPr>
          <w:rFonts w:ascii="Times New Roman" w:hAnsi="Times New Roman" w:cs="Times New Roman"/>
          <w:color w:val="000000" w:themeColor="text1"/>
          <w:sz w:val="24"/>
          <w:szCs w:val="24"/>
          <w:lang w:val="en-IN"/>
        </w:rPr>
        <w:t>. This team-based approach ensures that all aspects of the patient's condition are addressed, leading to improved outcomes and enhanced quality of life</w:t>
      </w:r>
      <w:r w:rsidRPr="00AB551B">
        <w:rPr>
          <w:rFonts w:ascii="Times New Roman" w:hAnsi="Times New Roman" w:cs="Times New Roman"/>
          <w:color w:val="000000" w:themeColor="text1"/>
          <w:sz w:val="24"/>
          <w:szCs w:val="24"/>
          <w:vertAlign w:val="superscript"/>
          <w:lang w:val="en-IN"/>
        </w:rPr>
        <w:t>10</w:t>
      </w:r>
      <w:r w:rsidRPr="00AB551B">
        <w:rPr>
          <w:rFonts w:ascii="Times New Roman" w:hAnsi="Times New Roman" w:cs="Times New Roman"/>
          <w:color w:val="000000" w:themeColor="text1"/>
          <w:sz w:val="24"/>
          <w:szCs w:val="24"/>
          <w:lang w:val="en-IN"/>
        </w:rPr>
        <w:t> . The biopsychosocial model supports the use of multimodal approaches</w:t>
      </w:r>
      <w:r w:rsidRPr="00AB551B">
        <w:rPr>
          <w:rFonts w:ascii="Times New Roman" w:hAnsi="Times New Roman" w:cs="Times New Roman"/>
          <w:color w:val="000000" w:themeColor="text1"/>
          <w:sz w:val="24"/>
          <w:szCs w:val="24"/>
          <w:vertAlign w:val="superscript"/>
          <w:lang w:val="en-IN"/>
        </w:rPr>
        <w:t>11</w:t>
      </w:r>
      <w:r w:rsidRPr="00AB551B">
        <w:rPr>
          <w:rFonts w:ascii="Times New Roman" w:hAnsi="Times New Roman" w:cs="Times New Roman"/>
          <w:color w:val="000000" w:themeColor="text1"/>
          <w:sz w:val="24"/>
          <w:szCs w:val="24"/>
          <w:lang w:val="en-IN"/>
        </w:rPr>
        <w:t> .</w:t>
      </w:r>
    </w:p>
    <w:p w14:paraId="211B63FF"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Despite the growing body of evidence supporting the efficacy of non-pharmacological interventions for chronic pain, several research gaps remain</w:t>
      </w:r>
      <w:r w:rsidRPr="00AB551B">
        <w:rPr>
          <w:rFonts w:ascii="Times New Roman" w:hAnsi="Times New Roman" w:cs="Times New Roman"/>
          <w:color w:val="000000" w:themeColor="text1"/>
          <w:sz w:val="24"/>
          <w:szCs w:val="24"/>
          <w:vertAlign w:val="superscript"/>
          <w:lang w:val="en-IN"/>
        </w:rPr>
        <w:t>23</w:t>
      </w:r>
      <w:r w:rsidRPr="00AB551B">
        <w:rPr>
          <w:rFonts w:ascii="Times New Roman" w:hAnsi="Times New Roman" w:cs="Times New Roman"/>
          <w:color w:val="000000" w:themeColor="text1"/>
          <w:sz w:val="24"/>
          <w:szCs w:val="24"/>
          <w:lang w:val="en-IN"/>
        </w:rPr>
        <w:t>. Further research is needed to identify the most effective interventions for specific chronic pain conditions, as well as to understand the mechanisms underlying their effectiveness</w:t>
      </w:r>
      <w:r w:rsidRPr="00AB551B">
        <w:rPr>
          <w:rFonts w:ascii="Times New Roman" w:hAnsi="Times New Roman" w:cs="Times New Roman"/>
          <w:color w:val="000000" w:themeColor="text1"/>
          <w:sz w:val="24"/>
          <w:szCs w:val="24"/>
          <w:vertAlign w:val="superscript"/>
          <w:lang w:val="en-IN"/>
        </w:rPr>
        <w:t>23</w:t>
      </w:r>
      <w:r w:rsidRPr="00AB551B">
        <w:rPr>
          <w:rFonts w:ascii="Times New Roman" w:hAnsi="Times New Roman" w:cs="Times New Roman"/>
          <w:color w:val="000000" w:themeColor="text1"/>
          <w:sz w:val="24"/>
          <w:szCs w:val="24"/>
          <w:lang w:val="en-IN"/>
        </w:rPr>
        <w:t>. Methodologically sound, large studies are needed in this area</w:t>
      </w:r>
      <w:r w:rsidRPr="00AB551B">
        <w:rPr>
          <w:rFonts w:ascii="Times New Roman" w:hAnsi="Times New Roman" w:cs="Times New Roman"/>
          <w:color w:val="000000" w:themeColor="text1"/>
          <w:sz w:val="24"/>
          <w:szCs w:val="24"/>
          <w:vertAlign w:val="superscript"/>
          <w:lang w:val="en-IN"/>
        </w:rPr>
        <w:t>23</w:t>
      </w:r>
      <w:r w:rsidRPr="00AB551B">
        <w:rPr>
          <w:rFonts w:ascii="Times New Roman" w:hAnsi="Times New Roman" w:cs="Times New Roman"/>
          <w:color w:val="000000" w:themeColor="text1"/>
          <w:sz w:val="24"/>
          <w:szCs w:val="24"/>
          <w:lang w:val="en-IN"/>
        </w:rPr>
        <w:t> .</w:t>
      </w:r>
    </w:p>
    <w:p w14:paraId="32D7F27F" w14:textId="77777777" w:rsidR="00AB551B" w:rsidRPr="00AB551B" w:rsidRDefault="00AB551B" w:rsidP="00AB551B">
      <w:pPr>
        <w:spacing w:after="210" w:line="276" w:lineRule="auto"/>
        <w:jc w:val="both"/>
        <w:rPr>
          <w:rFonts w:ascii="Times New Roman" w:hAnsi="Times New Roman" w:cs="Times New Roman"/>
          <w:color w:val="000000" w:themeColor="text1"/>
          <w:sz w:val="24"/>
          <w:szCs w:val="24"/>
          <w:lang w:val="en-IN"/>
        </w:rPr>
      </w:pPr>
      <w:r w:rsidRPr="00AB551B">
        <w:rPr>
          <w:rFonts w:ascii="Times New Roman" w:hAnsi="Times New Roman" w:cs="Times New Roman"/>
          <w:color w:val="000000" w:themeColor="text1"/>
          <w:sz w:val="24"/>
          <w:szCs w:val="24"/>
          <w:lang w:val="en-IN"/>
        </w:rPr>
        <w:t>Additional research is also needed to evaluate the long-term effectiveness of non-pharmacological therapies and to identify factors that predict treatment success</w:t>
      </w:r>
      <w:r w:rsidRPr="00AB551B">
        <w:rPr>
          <w:rFonts w:ascii="Times New Roman" w:hAnsi="Times New Roman" w:cs="Times New Roman"/>
          <w:color w:val="000000" w:themeColor="text1"/>
          <w:sz w:val="24"/>
          <w:szCs w:val="24"/>
          <w:vertAlign w:val="superscript"/>
          <w:lang w:val="en-IN"/>
        </w:rPr>
        <w:t>26</w:t>
      </w:r>
      <w:r w:rsidRPr="00AB551B">
        <w:rPr>
          <w:rFonts w:ascii="Times New Roman" w:hAnsi="Times New Roman" w:cs="Times New Roman"/>
          <w:color w:val="000000" w:themeColor="text1"/>
          <w:sz w:val="24"/>
          <w:szCs w:val="24"/>
          <w:lang w:val="en-IN"/>
        </w:rPr>
        <w:t>. Studies exploring validity, test-retest reliability, interobserver concurrent validity, and content are needed</w:t>
      </w:r>
      <w:r w:rsidRPr="00AB551B">
        <w:rPr>
          <w:rFonts w:ascii="Times New Roman" w:hAnsi="Times New Roman" w:cs="Times New Roman"/>
          <w:color w:val="000000" w:themeColor="text1"/>
          <w:sz w:val="24"/>
          <w:szCs w:val="24"/>
          <w:vertAlign w:val="superscript"/>
          <w:lang w:val="en-IN"/>
        </w:rPr>
        <w:t>15</w:t>
      </w:r>
      <w:r w:rsidRPr="00AB551B">
        <w:rPr>
          <w:rFonts w:ascii="Times New Roman" w:hAnsi="Times New Roman" w:cs="Times New Roman"/>
          <w:color w:val="000000" w:themeColor="text1"/>
          <w:sz w:val="24"/>
          <w:szCs w:val="24"/>
          <w:lang w:val="en-IN"/>
        </w:rPr>
        <w:t> . Future studies should focus on patient-centered outcomes, such as quality of life and functional capacity, as well as on cost-effectiveness</w:t>
      </w:r>
      <w:r w:rsidRPr="00AB551B">
        <w:rPr>
          <w:rFonts w:ascii="Times New Roman" w:hAnsi="Times New Roman" w:cs="Times New Roman"/>
          <w:color w:val="000000" w:themeColor="text1"/>
          <w:sz w:val="24"/>
          <w:szCs w:val="24"/>
          <w:vertAlign w:val="superscript"/>
          <w:lang w:val="en-IN"/>
        </w:rPr>
        <w:t>31</w:t>
      </w:r>
      <w:r w:rsidRPr="00AB551B">
        <w:rPr>
          <w:rFonts w:ascii="Times New Roman" w:hAnsi="Times New Roman" w:cs="Times New Roman"/>
          <w:color w:val="000000" w:themeColor="text1"/>
          <w:sz w:val="24"/>
          <w:szCs w:val="24"/>
          <w:lang w:val="en-IN"/>
        </w:rPr>
        <w:t> . By addressing these research gaps, we can further optimize the use of non-pharmacological interventions in the management of chronic pain</w:t>
      </w:r>
      <w:r w:rsidRPr="00AB551B">
        <w:rPr>
          <w:rFonts w:ascii="Times New Roman" w:hAnsi="Times New Roman" w:cs="Times New Roman"/>
          <w:color w:val="000000" w:themeColor="text1"/>
          <w:sz w:val="24"/>
          <w:szCs w:val="24"/>
          <w:vertAlign w:val="superscript"/>
          <w:lang w:val="en-IN"/>
        </w:rPr>
        <w:t>32</w:t>
      </w:r>
      <w:r w:rsidRPr="00AB551B">
        <w:rPr>
          <w:rFonts w:ascii="Times New Roman" w:hAnsi="Times New Roman" w:cs="Times New Roman"/>
          <w:color w:val="000000" w:themeColor="text1"/>
          <w:sz w:val="24"/>
          <w:szCs w:val="24"/>
          <w:lang w:val="en-IN"/>
        </w:rPr>
        <w:t> .</w:t>
      </w:r>
    </w:p>
    <w:p w14:paraId="217EC935" w14:textId="77777777" w:rsidR="00AB551B" w:rsidRPr="0097493E" w:rsidRDefault="00AB551B" w:rsidP="00AB551B">
      <w:pPr>
        <w:pStyle w:val="Heading3"/>
        <w:numPr>
          <w:ilvl w:val="0"/>
          <w:numId w:val="126"/>
        </w:numPr>
        <w:spacing w:line="276" w:lineRule="auto"/>
        <w:ind w:left="720" w:hanging="360"/>
        <w:jc w:val="both"/>
        <w:rPr>
          <w:rFonts w:ascii="Times New Roman" w:hAnsi="Times New Roman" w:cs="Times New Roman"/>
          <w:b/>
          <w:bCs/>
          <w:color w:val="auto"/>
          <w:sz w:val="24"/>
          <w:szCs w:val="24"/>
        </w:rPr>
      </w:pPr>
      <w:r w:rsidRPr="0097493E">
        <w:rPr>
          <w:rFonts w:ascii="Times New Roman" w:hAnsi="Times New Roman" w:cs="Times New Roman"/>
          <w:b/>
          <w:bCs/>
          <w:color w:val="auto"/>
          <w:sz w:val="24"/>
          <w:szCs w:val="24"/>
        </w:rPr>
        <w:t>Conclusion</w:t>
      </w:r>
    </w:p>
    <w:p w14:paraId="17F9AC48" w14:textId="77777777" w:rsidR="00AB551B" w:rsidRPr="00AB551B" w:rsidRDefault="00AB551B" w:rsidP="00AB551B">
      <w:pPr>
        <w:pStyle w:val="NormalWeb"/>
        <w:spacing w:line="276" w:lineRule="auto"/>
        <w:jc w:val="both"/>
      </w:pPr>
      <w:r w:rsidRPr="00AB551B">
        <w:t>Physiotherapy-based interventions play a pivotal role in pain modulation by targeting both peripheral and central mechanisms, including neuromuscular adaptations, neuroplasticity, and modulation of inflammatory pathways. Beyond symptom relief, these approaches carry significant clinical implications for reducing pharmacological dependence, improving functional outcomes, and enhancing quality of life. Integrating non-pharmacological strategies such as exercise therapy, manual techniques, and mind–body practices into pain management protocols can provide safer, sustainable, and patient-centered care. Ultimately, an interdisciplinary model—combining physiotherapy with pharmacological and psychosocial interventions—offers the most effective pathway for comprehensive pain management.</w:t>
      </w:r>
    </w:p>
    <w:p w14:paraId="6052F835" w14:textId="77777777" w:rsidR="00AB551B" w:rsidRPr="00AB551B" w:rsidRDefault="00AB551B" w:rsidP="00AB551B">
      <w:pPr>
        <w:pStyle w:val="NormalWeb"/>
        <w:spacing w:line="276" w:lineRule="auto"/>
      </w:pPr>
      <w:r w:rsidRPr="00AB551B">
        <w:rPr>
          <w:rStyle w:val="Strong"/>
          <w:rFonts w:eastAsiaTheme="majorEastAsia"/>
        </w:rPr>
        <w:t xml:space="preserve">References </w:t>
      </w:r>
    </w:p>
    <w:p w14:paraId="6A08EFFA" w14:textId="77777777" w:rsidR="00AB551B" w:rsidRPr="00AB551B" w:rsidRDefault="00AB551B" w:rsidP="00AB551B">
      <w:pPr>
        <w:pStyle w:val="NormalWeb"/>
        <w:numPr>
          <w:ilvl w:val="0"/>
          <w:numId w:val="127"/>
        </w:numPr>
        <w:spacing w:before="0" w:after="0" w:line="276" w:lineRule="auto"/>
        <w:jc w:val="both"/>
      </w:pPr>
      <w:r w:rsidRPr="00AB551B">
        <w:lastRenderedPageBreak/>
        <w:t xml:space="preserve">da Costa BR, Reichenbach S, Keller N, Nartey L, Wandel S, Jüni P, et al. Effectiveness of non-steroidal anti-inflammatory drugs for the treatment of pain in knee and hip osteoarthritis: a network meta-analysis. </w:t>
      </w:r>
      <w:r w:rsidRPr="00AB551B">
        <w:rPr>
          <w:rStyle w:val="Emphasis"/>
          <w:rFonts w:eastAsiaTheme="majorEastAsia"/>
        </w:rPr>
        <w:t>Lancet</w:t>
      </w:r>
      <w:r w:rsidRPr="00AB551B">
        <w:t>. 2017;390(10090):e21–33.</w:t>
      </w:r>
    </w:p>
    <w:p w14:paraId="73EB4B25" w14:textId="77777777" w:rsidR="00AB551B" w:rsidRPr="00AB551B" w:rsidRDefault="00AB551B" w:rsidP="00AB551B">
      <w:pPr>
        <w:pStyle w:val="NormalWeb"/>
        <w:numPr>
          <w:ilvl w:val="0"/>
          <w:numId w:val="127"/>
        </w:numPr>
        <w:spacing w:before="0" w:after="0" w:line="276" w:lineRule="auto"/>
        <w:jc w:val="both"/>
      </w:pPr>
      <w:r w:rsidRPr="00AB551B">
        <w:rPr>
          <w:lang w:val="nl-NL"/>
        </w:rPr>
        <w:t xml:space="preserve">Busse JW, Wang L, Kamaleldin M, Craigie S, Riva JJ, Montoya L, et al. </w:t>
      </w:r>
      <w:r w:rsidRPr="00AB551B">
        <w:t xml:space="preserve">Opioids for chronic noncancer pain: a systematic review and meta-analysis. </w:t>
      </w:r>
      <w:r w:rsidRPr="00AB551B">
        <w:rPr>
          <w:rStyle w:val="Emphasis"/>
          <w:rFonts w:eastAsiaTheme="majorEastAsia"/>
        </w:rPr>
        <w:t>JAMA</w:t>
      </w:r>
      <w:r w:rsidRPr="00AB551B">
        <w:t>. 2018;320(23):2448–60.</w:t>
      </w:r>
    </w:p>
    <w:p w14:paraId="24AEB7EA" w14:textId="77777777" w:rsidR="00AB551B" w:rsidRPr="00AB551B" w:rsidRDefault="00AB551B" w:rsidP="00AB551B">
      <w:pPr>
        <w:pStyle w:val="NormalWeb"/>
        <w:numPr>
          <w:ilvl w:val="0"/>
          <w:numId w:val="127"/>
        </w:numPr>
        <w:spacing w:before="0" w:after="0" w:line="276" w:lineRule="auto"/>
        <w:jc w:val="both"/>
      </w:pPr>
      <w:r w:rsidRPr="00AB551B">
        <w:t xml:space="preserve">Lunn MP, Hughes RA, Wiffen PJ. Duloxetine for treating painful neuropathy, chronic pain or fibromyalgia. </w:t>
      </w:r>
      <w:r w:rsidRPr="00AB551B">
        <w:rPr>
          <w:rStyle w:val="Emphasis"/>
          <w:rFonts w:eastAsiaTheme="majorEastAsia"/>
        </w:rPr>
        <w:t>Cochrane Database Syst Rev</w:t>
      </w:r>
      <w:r w:rsidRPr="00AB551B">
        <w:t>. 2014;(1):CD007115.</w:t>
      </w:r>
    </w:p>
    <w:p w14:paraId="5DD24E05" w14:textId="77777777" w:rsidR="00AB551B" w:rsidRPr="00AB551B" w:rsidRDefault="00AB551B" w:rsidP="00AB551B">
      <w:pPr>
        <w:pStyle w:val="NormalWeb"/>
        <w:numPr>
          <w:ilvl w:val="0"/>
          <w:numId w:val="127"/>
        </w:numPr>
        <w:spacing w:before="0" w:after="0" w:line="276" w:lineRule="auto"/>
        <w:jc w:val="both"/>
      </w:pPr>
      <w:r w:rsidRPr="00AB551B">
        <w:rPr>
          <w:lang w:val="nl-NL"/>
        </w:rPr>
        <w:t xml:space="preserve">Hayden JA, Ellis J, Ogilvie R, Stewart SA, Bagg MK, Stanojevic S, et al. </w:t>
      </w:r>
      <w:r w:rsidRPr="00AB551B">
        <w:t xml:space="preserve">Exercise therapy for chronic low back pain. </w:t>
      </w:r>
      <w:r w:rsidRPr="00AB551B">
        <w:rPr>
          <w:rStyle w:val="Emphasis"/>
          <w:rFonts w:eastAsiaTheme="majorEastAsia"/>
        </w:rPr>
        <w:t>Cochrane Database Syst Rev</w:t>
      </w:r>
      <w:r w:rsidRPr="00AB551B">
        <w:t>. 2021;9:CD009790.</w:t>
      </w:r>
    </w:p>
    <w:p w14:paraId="6807F0A1" w14:textId="77777777" w:rsidR="00AB551B" w:rsidRPr="00AB551B" w:rsidRDefault="00AB551B" w:rsidP="00AB551B">
      <w:pPr>
        <w:pStyle w:val="NormalWeb"/>
        <w:numPr>
          <w:ilvl w:val="0"/>
          <w:numId w:val="127"/>
        </w:numPr>
        <w:spacing w:before="0" w:after="0" w:line="276" w:lineRule="auto"/>
        <w:jc w:val="both"/>
      </w:pPr>
      <w:r w:rsidRPr="00AB551B">
        <w:t xml:space="preserve">Coulter ID, Crawford C, Hurwitz EL, Vernon H, Khorsan R, Booth MS, et al. Manipulation and mobilization for treating chronic low back pain: a systematic review and meta-analysis. </w:t>
      </w:r>
      <w:r w:rsidRPr="00AB551B">
        <w:rPr>
          <w:rStyle w:val="Emphasis"/>
          <w:rFonts w:eastAsiaTheme="majorEastAsia"/>
        </w:rPr>
        <w:t>Spine J</w:t>
      </w:r>
      <w:r w:rsidRPr="00AB551B">
        <w:t>. 2019;19(11):1741–60.</w:t>
      </w:r>
    </w:p>
    <w:p w14:paraId="13A73006" w14:textId="77777777" w:rsidR="00AB551B" w:rsidRPr="00AB551B" w:rsidRDefault="00AB551B" w:rsidP="00AB551B">
      <w:pPr>
        <w:pStyle w:val="NormalWeb"/>
        <w:numPr>
          <w:ilvl w:val="0"/>
          <w:numId w:val="127"/>
        </w:numPr>
        <w:spacing w:before="0" w:after="0" w:line="276" w:lineRule="auto"/>
        <w:jc w:val="both"/>
      </w:pPr>
      <w:r w:rsidRPr="00AB551B">
        <w:t xml:space="preserve">Johnson MI, Paley CA, Howe TE, Sluka KA. Transcutaneous electrical nerve stimulation for acute and chronic pain. </w:t>
      </w:r>
      <w:r w:rsidRPr="00AB551B">
        <w:rPr>
          <w:rStyle w:val="Emphasis"/>
          <w:rFonts w:eastAsiaTheme="majorEastAsia"/>
        </w:rPr>
        <w:t>Cochrane Database Syst Rev</w:t>
      </w:r>
      <w:r w:rsidRPr="00AB551B">
        <w:t>. 2015;(6):CD006142.</w:t>
      </w:r>
    </w:p>
    <w:p w14:paraId="0FEA205D" w14:textId="77777777" w:rsidR="00AB551B" w:rsidRPr="00AB551B" w:rsidRDefault="00AB551B" w:rsidP="00AB551B">
      <w:pPr>
        <w:pStyle w:val="NormalWeb"/>
        <w:numPr>
          <w:ilvl w:val="0"/>
          <w:numId w:val="127"/>
        </w:numPr>
        <w:spacing w:before="0" w:after="0" w:line="276" w:lineRule="auto"/>
        <w:jc w:val="both"/>
      </w:pPr>
      <w:r w:rsidRPr="00AB551B">
        <w:rPr>
          <w:lang w:val="nl-NL"/>
        </w:rPr>
        <w:t xml:space="preserve">Fransen M, McConnell S, Harmer AR, Van der Esch M, Simic M, Bennell KL. </w:t>
      </w:r>
      <w:r w:rsidRPr="00AB551B">
        <w:t xml:space="preserve">Exercise for osteoarthritis of the knee: a Cochrane systematic review. </w:t>
      </w:r>
      <w:r w:rsidRPr="00AB551B">
        <w:rPr>
          <w:rStyle w:val="Emphasis"/>
          <w:rFonts w:eastAsiaTheme="majorEastAsia"/>
        </w:rPr>
        <w:t>Cochrane Database Syst Rev</w:t>
      </w:r>
      <w:r w:rsidRPr="00AB551B">
        <w:t>. 2015;(1):CD004376.</w:t>
      </w:r>
    </w:p>
    <w:p w14:paraId="23E83C85" w14:textId="77777777" w:rsidR="00AB551B" w:rsidRPr="00AB551B" w:rsidRDefault="00AB551B" w:rsidP="00AB551B">
      <w:pPr>
        <w:pStyle w:val="NormalWeb"/>
        <w:numPr>
          <w:ilvl w:val="0"/>
          <w:numId w:val="127"/>
        </w:numPr>
        <w:spacing w:before="0" w:after="0" w:line="276" w:lineRule="auto"/>
        <w:jc w:val="both"/>
      </w:pPr>
      <w:r w:rsidRPr="00AB551B">
        <w:t xml:space="preserve">Williams ACC, Fisher E, Hearn L, Eccleston C. Psychological therapies for the management of chronic pain (excluding headache) in adults. </w:t>
      </w:r>
      <w:r w:rsidRPr="00AB551B">
        <w:rPr>
          <w:rStyle w:val="Emphasis"/>
          <w:rFonts w:eastAsiaTheme="majorEastAsia"/>
        </w:rPr>
        <w:t>Cochrane Database Syst Rev</w:t>
      </w:r>
      <w:r w:rsidRPr="00AB551B">
        <w:t>. 2020;8:CD007407.</w:t>
      </w:r>
    </w:p>
    <w:p w14:paraId="1F667EA7" w14:textId="77777777" w:rsidR="00AB551B" w:rsidRPr="00AB551B" w:rsidRDefault="00AB551B" w:rsidP="00AB551B">
      <w:pPr>
        <w:pStyle w:val="NormalWeb"/>
        <w:numPr>
          <w:ilvl w:val="0"/>
          <w:numId w:val="127"/>
        </w:numPr>
        <w:spacing w:before="0" w:after="0" w:line="276" w:lineRule="auto"/>
        <w:jc w:val="both"/>
      </w:pPr>
      <w:r w:rsidRPr="00AB551B">
        <w:t xml:space="preserve">Vickers AJ, Vertosick EA, Lewith G, MacPherson H, Foster NE, Sherman KJ, et al. Acupuncture for chronic pain: Update of an individual patient data meta-analysis. </w:t>
      </w:r>
      <w:r w:rsidRPr="00AB551B">
        <w:rPr>
          <w:rStyle w:val="Emphasis"/>
          <w:rFonts w:eastAsiaTheme="majorEastAsia"/>
        </w:rPr>
        <w:t>J Pain</w:t>
      </w:r>
      <w:r w:rsidRPr="00AB551B">
        <w:t>. 2018;19(5):455–74.</w:t>
      </w:r>
    </w:p>
    <w:p w14:paraId="3A159952" w14:textId="77777777" w:rsidR="00AB551B" w:rsidRPr="00AB551B" w:rsidRDefault="00AB551B" w:rsidP="00AB551B">
      <w:pPr>
        <w:pStyle w:val="NormalWeb"/>
        <w:numPr>
          <w:ilvl w:val="0"/>
          <w:numId w:val="127"/>
        </w:numPr>
        <w:spacing w:before="0" w:after="0" w:line="276" w:lineRule="auto"/>
        <w:jc w:val="both"/>
      </w:pPr>
      <w:r w:rsidRPr="00AB551B">
        <w:t xml:space="preserve">Kamper SJ, Apeldoorn AT, Chiarotto A, Smeets RJ, Ostelo RW, Guzman J, et al. Multidisciplinary biopsychosocial rehabilitation for chronic low back pain: Cochrane systematic review and meta-analysis. </w:t>
      </w:r>
      <w:r w:rsidRPr="00AB551B">
        <w:rPr>
          <w:rStyle w:val="Emphasis"/>
          <w:rFonts w:eastAsiaTheme="majorEastAsia"/>
        </w:rPr>
        <w:t>BMJ</w:t>
      </w:r>
      <w:r w:rsidRPr="00AB551B">
        <w:t>. 2015;350:h444.</w:t>
      </w:r>
    </w:p>
    <w:p w14:paraId="69A7B1A8"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Gatchel, R. J., Peng, Y. B., Peters, M. L., Fuchs, P. N., &amp; Turk, D. C. (2007). The biopsychosocial approach to chronic pain: Scientific advances and future directions. </w:t>
      </w:r>
      <w:r w:rsidRPr="00AB551B">
        <w:rPr>
          <w:rFonts w:ascii="Times New Roman" w:hAnsi="Times New Roman" w:cs="Times New Roman"/>
          <w:i/>
          <w:iCs/>
          <w:sz w:val="24"/>
          <w:szCs w:val="24"/>
          <w:lang w:val="en-IN" w:eastAsia="en-IN"/>
        </w:rPr>
        <w:t>Psychological Bulletin</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133</w:t>
      </w:r>
      <w:r w:rsidRPr="00AB551B">
        <w:rPr>
          <w:rFonts w:ascii="Times New Roman" w:hAnsi="Times New Roman" w:cs="Times New Roman"/>
          <w:sz w:val="24"/>
          <w:szCs w:val="24"/>
          <w:lang w:val="en-IN" w:eastAsia="en-IN"/>
        </w:rPr>
        <w:t>(4), 581–624. https://doi.org/10.1037/0033-2909.133.4.581</w:t>
      </w:r>
    </w:p>
    <w:p w14:paraId="61577630"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Tanaka, M., Török, N., Tóth, F., Szabó, Á., &amp; Vécsei, L. (2021). Co-Players in Chronic pain: neuroinflammation and the Tryptophan-Kynurenine metabolic Pathway. </w:t>
      </w:r>
      <w:r w:rsidRPr="00AB551B">
        <w:rPr>
          <w:rFonts w:ascii="Times New Roman" w:hAnsi="Times New Roman" w:cs="Times New Roman"/>
          <w:i/>
          <w:iCs/>
          <w:sz w:val="24"/>
          <w:szCs w:val="24"/>
          <w:lang w:val="en-IN" w:eastAsia="en-IN"/>
        </w:rPr>
        <w:t>Biomedicines</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9</w:t>
      </w:r>
      <w:r w:rsidRPr="00AB551B">
        <w:rPr>
          <w:rFonts w:ascii="Times New Roman" w:hAnsi="Times New Roman" w:cs="Times New Roman"/>
          <w:sz w:val="24"/>
          <w:szCs w:val="24"/>
          <w:lang w:val="en-IN" w:eastAsia="en-IN"/>
        </w:rPr>
        <w:t>(8), 897. https://doi.org/10.3390/biomedicines9080897</w:t>
      </w:r>
    </w:p>
    <w:p w14:paraId="735DE873"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Cáceres-Matos, R., Gil-García, E., Barrientos-Trigo, S., Porcel-Gálvez, A. M., &amp; Cabrera-León, A. (2020). Consequences of Chronic Non-Cancer Pain in adulthood. Scoping Review. </w:t>
      </w:r>
      <w:r w:rsidRPr="00AB551B">
        <w:rPr>
          <w:rFonts w:ascii="Times New Roman" w:hAnsi="Times New Roman" w:cs="Times New Roman"/>
          <w:i/>
          <w:iCs/>
          <w:sz w:val="24"/>
          <w:szCs w:val="24"/>
          <w:lang w:val="en-IN" w:eastAsia="en-IN"/>
        </w:rPr>
        <w:t>Revista De Saúde Pública</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54</w:t>
      </w:r>
      <w:r w:rsidRPr="00AB551B">
        <w:rPr>
          <w:rFonts w:ascii="Times New Roman" w:hAnsi="Times New Roman" w:cs="Times New Roman"/>
          <w:sz w:val="24"/>
          <w:szCs w:val="24"/>
          <w:lang w:val="en-IN" w:eastAsia="en-IN"/>
        </w:rPr>
        <w:t>, 39. https://doi.org/10.11606/s1518-8787.2020054001675</w:t>
      </w:r>
    </w:p>
    <w:p w14:paraId="74AB7BE2"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Antunes, M. D., &amp; Marques, A. P. (2022). The role of physiotherapy in fibromyalgia: Current and future perspectives. </w:t>
      </w:r>
      <w:r w:rsidRPr="00AB551B">
        <w:rPr>
          <w:rFonts w:ascii="Times New Roman" w:hAnsi="Times New Roman" w:cs="Times New Roman"/>
          <w:i/>
          <w:iCs/>
          <w:sz w:val="24"/>
          <w:szCs w:val="24"/>
          <w:lang w:val="en-IN" w:eastAsia="en-IN"/>
        </w:rPr>
        <w:t>Frontiers in Physiology</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13</w:t>
      </w:r>
      <w:r w:rsidRPr="00AB551B">
        <w:rPr>
          <w:rFonts w:ascii="Times New Roman" w:hAnsi="Times New Roman" w:cs="Times New Roman"/>
          <w:sz w:val="24"/>
          <w:szCs w:val="24"/>
          <w:lang w:val="en-IN" w:eastAsia="en-IN"/>
        </w:rPr>
        <w:t>. https://doi.org/10.3389/fphys.2022.968292</w:t>
      </w:r>
    </w:p>
    <w:p w14:paraId="71BC93E5"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Li, L. W., Yi, T. H., &amp; Khaing, N. E. E. (2024). Chronic pain healthcare workers’ challenges in pain management and receptiveness towards VR as an adjunct management tool: a qualitative study. </w:t>
      </w:r>
      <w:r w:rsidRPr="00AB551B">
        <w:rPr>
          <w:rFonts w:ascii="Times New Roman" w:hAnsi="Times New Roman" w:cs="Times New Roman"/>
          <w:i/>
          <w:iCs/>
          <w:sz w:val="24"/>
          <w:szCs w:val="24"/>
          <w:lang w:val="en-IN" w:eastAsia="en-IN"/>
        </w:rPr>
        <w:t>BMC Digital Health</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2</w:t>
      </w:r>
      <w:r w:rsidRPr="00AB551B">
        <w:rPr>
          <w:rFonts w:ascii="Times New Roman" w:hAnsi="Times New Roman" w:cs="Times New Roman"/>
          <w:sz w:val="24"/>
          <w:szCs w:val="24"/>
          <w:lang w:val="en-IN" w:eastAsia="en-IN"/>
        </w:rPr>
        <w:t>(1). https://doi.org/10.1186/s44247-024-00073-0</w:t>
      </w:r>
    </w:p>
    <w:p w14:paraId="6A82AFB3"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Taylor, S. J. C., Carnes, D., Homer, K., Kahan, B. C., Hounsome, N., Eldridge, S., Spencer, A., Pincus, T., Rahman, A., &amp; Underwood, M. (2016). Novel Three-Day, Community-Based, </w:t>
      </w:r>
      <w:r w:rsidRPr="00AB551B">
        <w:rPr>
          <w:rFonts w:ascii="Times New Roman" w:hAnsi="Times New Roman" w:cs="Times New Roman"/>
          <w:sz w:val="24"/>
          <w:szCs w:val="24"/>
          <w:lang w:val="en-IN" w:eastAsia="en-IN"/>
        </w:rPr>
        <w:lastRenderedPageBreak/>
        <w:t xml:space="preserve">nonpharmacological group intervention for Chronic Musculoskeletal Pain (COPERS): a randomised clinical trial. </w:t>
      </w:r>
      <w:r w:rsidRPr="00AB551B">
        <w:rPr>
          <w:rFonts w:ascii="Times New Roman" w:hAnsi="Times New Roman" w:cs="Times New Roman"/>
          <w:i/>
          <w:iCs/>
          <w:sz w:val="24"/>
          <w:szCs w:val="24"/>
          <w:lang w:val="en-IN" w:eastAsia="en-IN"/>
        </w:rPr>
        <w:t>PLoS Medicine</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13</w:t>
      </w:r>
      <w:r w:rsidRPr="00AB551B">
        <w:rPr>
          <w:rFonts w:ascii="Times New Roman" w:hAnsi="Times New Roman" w:cs="Times New Roman"/>
          <w:sz w:val="24"/>
          <w:szCs w:val="24"/>
          <w:lang w:val="en-IN" w:eastAsia="en-IN"/>
        </w:rPr>
        <w:t xml:space="preserve">(6), e1002040. </w:t>
      </w:r>
      <w:hyperlink r:id="rId22" w:history="1">
        <w:r w:rsidRPr="00AB551B">
          <w:rPr>
            <w:rStyle w:val="Hyperlink"/>
            <w:rFonts w:ascii="Times New Roman" w:hAnsi="Times New Roman" w:cs="Times New Roman"/>
            <w:sz w:val="24"/>
            <w:szCs w:val="24"/>
            <w:lang w:val="en-IN" w:eastAsia="en-IN"/>
          </w:rPr>
          <w:t>https://doi.org/10.1371/journal.pmed.1002040</w:t>
        </w:r>
      </w:hyperlink>
    </w:p>
    <w:p w14:paraId="329B5B71"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Dowell, D., Haegerich, T. M., &amp; Chou, R. (2016). CDC Guideline for Prescribing Opioids for Chronic Pain—United States, 2016. </w:t>
      </w:r>
      <w:r w:rsidRPr="00AB551B">
        <w:rPr>
          <w:rFonts w:ascii="Times New Roman" w:hAnsi="Times New Roman" w:cs="Times New Roman"/>
          <w:i/>
          <w:iCs/>
          <w:sz w:val="24"/>
          <w:szCs w:val="24"/>
          <w:lang w:val="en-IN" w:eastAsia="en-IN"/>
        </w:rPr>
        <w:t>JAMA</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315</w:t>
      </w:r>
      <w:r w:rsidRPr="00AB551B">
        <w:rPr>
          <w:rFonts w:ascii="Times New Roman" w:hAnsi="Times New Roman" w:cs="Times New Roman"/>
          <w:sz w:val="24"/>
          <w:szCs w:val="24"/>
          <w:lang w:val="en-IN" w:eastAsia="en-IN"/>
        </w:rPr>
        <w:t>(15), 1624. https://doi.org/10.1001/jama.2016.1464</w:t>
      </w:r>
    </w:p>
    <w:p w14:paraId="0D0FC9BB"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Shi, Y., &amp; Wu, W. (2023). Multimodal non-invasive non-pharmacological therapies for chronic pain: mechanisms and progress. </w:t>
      </w:r>
      <w:r w:rsidRPr="00AB551B">
        <w:rPr>
          <w:rFonts w:ascii="Times New Roman" w:hAnsi="Times New Roman" w:cs="Times New Roman"/>
          <w:i/>
          <w:iCs/>
          <w:sz w:val="24"/>
          <w:szCs w:val="24"/>
          <w:lang w:val="en-IN" w:eastAsia="en-IN"/>
        </w:rPr>
        <w:t>BMC Medicine</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21</w:t>
      </w:r>
      <w:r w:rsidRPr="00AB551B">
        <w:rPr>
          <w:rFonts w:ascii="Times New Roman" w:hAnsi="Times New Roman" w:cs="Times New Roman"/>
          <w:sz w:val="24"/>
          <w:szCs w:val="24"/>
          <w:lang w:val="en-IN" w:eastAsia="en-IN"/>
        </w:rPr>
        <w:t>(1). https://doi.org/10.1186/s12916-023-03076-2</w:t>
      </w:r>
    </w:p>
    <w:p w14:paraId="31BACFF2"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Mills, S., Torrance, N., &amp; Smith, B. H. (2016). Identification and Management of Chronic Pain in Primary Care: a Review. </w:t>
      </w:r>
      <w:r w:rsidRPr="00AB551B">
        <w:rPr>
          <w:rFonts w:ascii="Times New Roman" w:hAnsi="Times New Roman" w:cs="Times New Roman"/>
          <w:i/>
          <w:iCs/>
          <w:sz w:val="24"/>
          <w:szCs w:val="24"/>
          <w:lang w:val="en-IN" w:eastAsia="en-IN"/>
        </w:rPr>
        <w:t>Current Psychiatry Reports</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18</w:t>
      </w:r>
      <w:r w:rsidRPr="00AB551B">
        <w:rPr>
          <w:rFonts w:ascii="Times New Roman" w:hAnsi="Times New Roman" w:cs="Times New Roman"/>
          <w:sz w:val="24"/>
          <w:szCs w:val="24"/>
          <w:lang w:val="en-IN" w:eastAsia="en-IN"/>
        </w:rPr>
        <w:t>(2). https://doi.org/10.1007/s11920-015-0659-9</w:t>
      </w:r>
    </w:p>
    <w:p w14:paraId="66C8358D"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Sullivan, M. D., Sturgeon, J. A., Lumley, M. A., &amp; Ballantyne, J. C. (2022). Reconsidering Fordyce’s classic article, “Pain and suffering: what is the unit?” to help make our model of chronic pain truly biopsychosocial. </w:t>
      </w:r>
      <w:r w:rsidRPr="00AB551B">
        <w:rPr>
          <w:rFonts w:ascii="Times New Roman" w:hAnsi="Times New Roman" w:cs="Times New Roman"/>
          <w:i/>
          <w:iCs/>
          <w:sz w:val="24"/>
          <w:szCs w:val="24"/>
          <w:lang w:val="en-IN" w:eastAsia="en-IN"/>
        </w:rPr>
        <w:t>Pain</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164</w:t>
      </w:r>
      <w:r w:rsidRPr="00AB551B">
        <w:rPr>
          <w:rFonts w:ascii="Times New Roman" w:hAnsi="Times New Roman" w:cs="Times New Roman"/>
          <w:sz w:val="24"/>
          <w:szCs w:val="24"/>
          <w:lang w:val="en-IN" w:eastAsia="en-IN"/>
        </w:rPr>
        <w:t>(2), 271–279. https://doi.org/10.1097/j.pain.0000000000002748</w:t>
      </w:r>
    </w:p>
    <w:p w14:paraId="29BB5CBB"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Murray, I., Bhanot, G., &amp; Bhargava, A. (2021). Neuron-Glia-Immune triad and Cortico-Limbic system in pathology of pain. </w:t>
      </w:r>
      <w:r w:rsidRPr="00AB551B">
        <w:rPr>
          <w:rFonts w:ascii="Times New Roman" w:hAnsi="Times New Roman" w:cs="Times New Roman"/>
          <w:i/>
          <w:iCs/>
          <w:sz w:val="24"/>
          <w:szCs w:val="24"/>
          <w:lang w:val="en-IN" w:eastAsia="en-IN"/>
        </w:rPr>
        <w:t>Cells</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10</w:t>
      </w:r>
      <w:r w:rsidRPr="00AB551B">
        <w:rPr>
          <w:rFonts w:ascii="Times New Roman" w:hAnsi="Times New Roman" w:cs="Times New Roman"/>
          <w:sz w:val="24"/>
          <w:szCs w:val="24"/>
          <w:lang w:val="en-IN" w:eastAsia="en-IN"/>
        </w:rPr>
        <w:t>(6), 1553. https://doi.org/10.3390/cells10061553</w:t>
      </w:r>
    </w:p>
    <w:p w14:paraId="13E14B1A"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Kosek, E., Clauw, D., Nijs, J., Baron, R., Gilron, I., Harris, R. E., Mico, J., Rice, A. S., &amp; Sterling, M. (2021b). Chronic nociplastic pain affecting the musculoskeletal system: clinical criteria and grading system. </w:t>
      </w:r>
      <w:r w:rsidRPr="00AB551B">
        <w:rPr>
          <w:rFonts w:ascii="Times New Roman" w:hAnsi="Times New Roman" w:cs="Times New Roman"/>
          <w:i/>
          <w:iCs/>
          <w:sz w:val="24"/>
          <w:szCs w:val="24"/>
          <w:lang w:val="en-IN" w:eastAsia="en-IN"/>
        </w:rPr>
        <w:t>Pain</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162</w:t>
      </w:r>
      <w:r w:rsidRPr="00AB551B">
        <w:rPr>
          <w:rFonts w:ascii="Times New Roman" w:hAnsi="Times New Roman" w:cs="Times New Roman"/>
          <w:sz w:val="24"/>
          <w:szCs w:val="24"/>
          <w:lang w:val="en-IN" w:eastAsia="en-IN"/>
        </w:rPr>
        <w:t>(11), 2629–2634. https://doi.org/10.1097/j.pain.0000000000002324</w:t>
      </w:r>
    </w:p>
    <w:p w14:paraId="450ADDC4"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nl-NL" w:eastAsia="en-IN"/>
        </w:rPr>
        <w:t xml:space="preserve">Neugebauer, V., Li, W., Bird, G. C., Bhave, G., &amp; Gereau, R. W. (2003). </w:t>
      </w:r>
      <w:r w:rsidRPr="00AB551B">
        <w:rPr>
          <w:rFonts w:ascii="Times New Roman" w:hAnsi="Times New Roman" w:cs="Times New Roman"/>
          <w:sz w:val="24"/>
          <w:szCs w:val="24"/>
          <w:lang w:val="en-IN" w:eastAsia="en-IN"/>
        </w:rPr>
        <w:t xml:space="preserve">Synaptic plasticity in the amygdala in a model of arthritic pain: Differential roles of metabotropic glutamate receptors 1 and 5. </w:t>
      </w:r>
      <w:r w:rsidRPr="00AB551B">
        <w:rPr>
          <w:rFonts w:ascii="Times New Roman" w:hAnsi="Times New Roman" w:cs="Times New Roman"/>
          <w:i/>
          <w:iCs/>
          <w:sz w:val="24"/>
          <w:szCs w:val="24"/>
          <w:lang w:val="en-IN" w:eastAsia="en-IN"/>
        </w:rPr>
        <w:t>Journal of Neuroscience</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23</w:t>
      </w:r>
      <w:r w:rsidRPr="00AB551B">
        <w:rPr>
          <w:rFonts w:ascii="Times New Roman" w:hAnsi="Times New Roman" w:cs="Times New Roman"/>
          <w:sz w:val="24"/>
          <w:szCs w:val="24"/>
          <w:lang w:val="en-IN" w:eastAsia="en-IN"/>
        </w:rPr>
        <w:t>(1), 52–63. https://doi.org/10.1523/jneurosci.23-01-00052.2003</w:t>
      </w:r>
    </w:p>
    <w:p w14:paraId="4CEA8051"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Santos, N. É. C., Mercante, N. J. P. P., Silva, N. a. M. S., Miyazaki, N. R. T., Daud, N. P. F., Oliveira, N. a. B., &amp; Peres, N. M. F. P. (2019). The impact of anxiety and depression on migraine patients’ journey to a tertiary headache center. </w:t>
      </w:r>
      <w:r w:rsidRPr="00AB551B">
        <w:rPr>
          <w:rFonts w:ascii="Times New Roman" w:hAnsi="Times New Roman" w:cs="Times New Roman"/>
          <w:i/>
          <w:iCs/>
          <w:sz w:val="24"/>
          <w:szCs w:val="24"/>
          <w:lang w:val="en-IN" w:eastAsia="en-IN"/>
        </w:rPr>
        <w:t>Deleted Journal</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10</w:t>
      </w:r>
      <w:r w:rsidRPr="00AB551B">
        <w:rPr>
          <w:rFonts w:ascii="Times New Roman" w:hAnsi="Times New Roman" w:cs="Times New Roman"/>
          <w:sz w:val="24"/>
          <w:szCs w:val="24"/>
          <w:lang w:val="en-IN" w:eastAsia="en-IN"/>
        </w:rPr>
        <w:t>(4), 174–181. https://doi.org/10.48208/headachemed.2019.25</w:t>
      </w:r>
    </w:p>
    <w:p w14:paraId="5B4994A4"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Thompson, J. M., &amp; Neugebauer, V. (2017). Amygdala plasticity and pain. </w:t>
      </w:r>
      <w:r w:rsidRPr="00AB551B">
        <w:rPr>
          <w:rFonts w:ascii="Times New Roman" w:hAnsi="Times New Roman" w:cs="Times New Roman"/>
          <w:i/>
          <w:iCs/>
          <w:sz w:val="24"/>
          <w:szCs w:val="24"/>
          <w:lang w:val="en-IN" w:eastAsia="en-IN"/>
        </w:rPr>
        <w:t>Pain Research and Management</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2017</w:t>
      </w:r>
      <w:r w:rsidRPr="00AB551B">
        <w:rPr>
          <w:rFonts w:ascii="Times New Roman" w:hAnsi="Times New Roman" w:cs="Times New Roman"/>
          <w:sz w:val="24"/>
          <w:szCs w:val="24"/>
          <w:lang w:val="en-IN" w:eastAsia="en-IN"/>
        </w:rPr>
        <w:t>, 1–12. https://doi.org/10.1155/2017/8296501</w:t>
      </w:r>
    </w:p>
    <w:p w14:paraId="30D84307"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nl-NL" w:eastAsia="en-IN"/>
        </w:rPr>
        <w:t xml:space="preserve">Cui, X., Zhao, P., Guo, X., Wang, J., Han, T., Zhang, X., Zhou, X., &amp; Yan, Q. (2024). </w:t>
      </w:r>
      <w:r w:rsidRPr="00AB551B">
        <w:rPr>
          <w:rFonts w:ascii="Times New Roman" w:hAnsi="Times New Roman" w:cs="Times New Roman"/>
          <w:sz w:val="24"/>
          <w:szCs w:val="24"/>
          <w:lang w:val="en-IN" w:eastAsia="en-IN"/>
        </w:rPr>
        <w:t xml:space="preserve">Effectiveness of multimodal active physiotherapy for chronic knee pain: a 12-month randomized controlled trial follow-up study. </w:t>
      </w:r>
      <w:r w:rsidRPr="00AB551B">
        <w:rPr>
          <w:rFonts w:ascii="Times New Roman" w:hAnsi="Times New Roman" w:cs="Times New Roman"/>
          <w:i/>
          <w:iCs/>
          <w:sz w:val="24"/>
          <w:szCs w:val="24"/>
          <w:lang w:val="en-IN" w:eastAsia="en-IN"/>
        </w:rPr>
        <w:t>Frontiers in Physiology</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15</w:t>
      </w:r>
      <w:r w:rsidRPr="00AB551B">
        <w:rPr>
          <w:rFonts w:ascii="Times New Roman" w:hAnsi="Times New Roman" w:cs="Times New Roman"/>
          <w:sz w:val="24"/>
          <w:szCs w:val="24"/>
          <w:lang w:val="en-IN" w:eastAsia="en-IN"/>
        </w:rPr>
        <w:t xml:space="preserve">. </w:t>
      </w:r>
      <w:hyperlink r:id="rId23" w:history="1">
        <w:r w:rsidRPr="00AB551B">
          <w:rPr>
            <w:rStyle w:val="Hyperlink"/>
            <w:rFonts w:ascii="Times New Roman" w:hAnsi="Times New Roman" w:cs="Times New Roman"/>
            <w:sz w:val="24"/>
            <w:szCs w:val="24"/>
            <w:lang w:val="en-IN" w:eastAsia="en-IN"/>
          </w:rPr>
          <w:t>https://doi.org/10.3389/fphys.2024.1451345</w:t>
        </w:r>
      </w:hyperlink>
    </w:p>
    <w:p w14:paraId="73902926"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Shipton, E. A. (2018). Physical therapy approaches in the treatment of low back pain. </w:t>
      </w:r>
      <w:r w:rsidRPr="00AB551B">
        <w:rPr>
          <w:rFonts w:ascii="Times New Roman" w:hAnsi="Times New Roman" w:cs="Times New Roman"/>
          <w:i/>
          <w:iCs/>
          <w:sz w:val="24"/>
          <w:szCs w:val="24"/>
          <w:lang w:val="en-IN" w:eastAsia="en-IN"/>
        </w:rPr>
        <w:t>Pain and Therapy</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7</w:t>
      </w:r>
      <w:r w:rsidRPr="00AB551B">
        <w:rPr>
          <w:rFonts w:ascii="Times New Roman" w:hAnsi="Times New Roman" w:cs="Times New Roman"/>
          <w:sz w:val="24"/>
          <w:szCs w:val="24"/>
          <w:lang w:val="en-IN" w:eastAsia="en-IN"/>
        </w:rPr>
        <w:t>(2), 127–137. https://doi.org/10.1007/s40122-018-0105-x</w:t>
      </w:r>
    </w:p>
    <w:p w14:paraId="7C878D30"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Brosseau, L., Rahman, P., Toupin-April, K., Poitras, S., King, J., De Angelis, G., Loew, L., Casimiro, L., Paterson, G., &amp; McEwan, J. (2014). A Systematic Critical Appraisal for Non-Pharmacological Management of Osteoarthritis using the Appraisal of Guidelines Research </w:t>
      </w:r>
      <w:r w:rsidRPr="00AB551B">
        <w:rPr>
          <w:rFonts w:ascii="Times New Roman" w:hAnsi="Times New Roman" w:cs="Times New Roman"/>
          <w:sz w:val="24"/>
          <w:szCs w:val="24"/>
          <w:lang w:val="en-IN" w:eastAsia="en-IN"/>
        </w:rPr>
        <w:lastRenderedPageBreak/>
        <w:t xml:space="preserve">and Evaluation II Instrument. </w:t>
      </w:r>
      <w:r w:rsidRPr="00AB551B">
        <w:rPr>
          <w:rFonts w:ascii="Times New Roman" w:hAnsi="Times New Roman" w:cs="Times New Roman"/>
          <w:i/>
          <w:iCs/>
          <w:sz w:val="24"/>
          <w:szCs w:val="24"/>
          <w:lang w:val="en-IN" w:eastAsia="en-IN"/>
        </w:rPr>
        <w:t>PLoS ONE</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9</w:t>
      </w:r>
      <w:r w:rsidRPr="00AB551B">
        <w:rPr>
          <w:rFonts w:ascii="Times New Roman" w:hAnsi="Times New Roman" w:cs="Times New Roman"/>
          <w:sz w:val="24"/>
          <w:szCs w:val="24"/>
          <w:lang w:val="en-IN" w:eastAsia="en-IN"/>
        </w:rPr>
        <w:t>(1), e82986. https://doi.org/10.1371/journal.pone.0082986</w:t>
      </w:r>
    </w:p>
    <w:p w14:paraId="77406A56"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Bhatnagar, S. (2020). Evidence for the Efficacy of Scrambler Therapy for Cancer Pain: A Systematic review. </w:t>
      </w:r>
      <w:r w:rsidRPr="00AB551B">
        <w:rPr>
          <w:rFonts w:ascii="Times New Roman" w:hAnsi="Times New Roman" w:cs="Times New Roman"/>
          <w:i/>
          <w:iCs/>
          <w:sz w:val="24"/>
          <w:szCs w:val="24"/>
          <w:lang w:val="en-IN" w:eastAsia="en-IN"/>
        </w:rPr>
        <w:t>Pain Physician</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4;23</w:t>
      </w:r>
      <w:r w:rsidRPr="00AB551B">
        <w:rPr>
          <w:rFonts w:ascii="Times New Roman" w:hAnsi="Times New Roman" w:cs="Times New Roman"/>
          <w:sz w:val="24"/>
          <w:szCs w:val="24"/>
          <w:lang w:val="en-IN" w:eastAsia="en-IN"/>
        </w:rPr>
        <w:t>(7;4), 349–363. https://doi.org/10.36076/ppj.2020/23/349</w:t>
      </w:r>
    </w:p>
    <w:p w14:paraId="7D3C67D7"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Yadav, M., Attrey, P., &amp; Kamal, S. (2017). HIGH OR LOW FREQUENCY TENS IN PATIENTS WITH KNEE OSTEOARTHRITIS- WHAT WORKS BETTER? </w:t>
      </w:r>
      <w:r w:rsidRPr="00AB551B">
        <w:rPr>
          <w:rFonts w:ascii="Times New Roman" w:hAnsi="Times New Roman" w:cs="Times New Roman"/>
          <w:i/>
          <w:iCs/>
          <w:sz w:val="24"/>
          <w:szCs w:val="24"/>
          <w:lang w:val="en-IN" w:eastAsia="en-IN"/>
        </w:rPr>
        <w:t>International Journal of Physiotherapy and Research</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5</w:t>
      </w:r>
      <w:r w:rsidRPr="00AB551B">
        <w:rPr>
          <w:rFonts w:ascii="Times New Roman" w:hAnsi="Times New Roman" w:cs="Times New Roman"/>
          <w:sz w:val="24"/>
          <w:szCs w:val="24"/>
          <w:lang w:val="en-IN" w:eastAsia="en-IN"/>
        </w:rPr>
        <w:t>(4), 2203–2208. https://doi.org/10.16965/ijpr.2017.172</w:t>
      </w:r>
    </w:p>
    <w:p w14:paraId="11689407"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Apkarian, A. V., Baliki, M. N., &amp; Farmer, M. A. (2013). Predicting transition to chronic pain. </w:t>
      </w:r>
      <w:r w:rsidRPr="00AB551B">
        <w:rPr>
          <w:rFonts w:ascii="Times New Roman" w:hAnsi="Times New Roman" w:cs="Times New Roman"/>
          <w:i/>
          <w:iCs/>
          <w:sz w:val="24"/>
          <w:szCs w:val="24"/>
          <w:lang w:val="en-IN" w:eastAsia="en-IN"/>
        </w:rPr>
        <w:t>Current Opinion in Neurology</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26</w:t>
      </w:r>
      <w:r w:rsidRPr="00AB551B">
        <w:rPr>
          <w:rFonts w:ascii="Times New Roman" w:hAnsi="Times New Roman" w:cs="Times New Roman"/>
          <w:sz w:val="24"/>
          <w:szCs w:val="24"/>
          <w:lang w:val="en-IN" w:eastAsia="en-IN"/>
        </w:rPr>
        <w:t>(4), 360–367. https://doi.org/10.1097/wco.0b013e32836336ad</w:t>
      </w:r>
    </w:p>
    <w:p w14:paraId="740379D3" w14:textId="77777777" w:rsidR="00AB551B" w:rsidRPr="00AB551B" w:rsidRDefault="00AB551B" w:rsidP="00AB551B">
      <w:pPr>
        <w:pStyle w:val="ListParagraph"/>
        <w:numPr>
          <w:ilvl w:val="0"/>
          <w:numId w:val="127"/>
        </w:numPr>
        <w:spacing w:after="0" w:line="276" w:lineRule="auto"/>
        <w:contextualSpacing w:val="0"/>
        <w:jc w:val="both"/>
        <w:rPr>
          <w:rFonts w:ascii="Times New Roman" w:hAnsi="Times New Roman" w:cs="Times New Roman"/>
          <w:sz w:val="24"/>
          <w:szCs w:val="24"/>
          <w:lang w:val="en-IN" w:eastAsia="en-IN"/>
        </w:rPr>
      </w:pPr>
      <w:r w:rsidRPr="00AB551B">
        <w:rPr>
          <w:rFonts w:ascii="Times New Roman" w:hAnsi="Times New Roman" w:cs="Times New Roman"/>
          <w:sz w:val="24"/>
          <w:szCs w:val="24"/>
          <w:lang w:val="en-IN" w:eastAsia="en-IN"/>
        </w:rPr>
        <w:t xml:space="preserve">Smith, S. M., Fava, M., Jensen, M. P., Mbowe, O. B., McDermott, M. P., Turk, D. C., &amp; Dworkin, R. H. (2020). John D. Loeser Award Lecture: Size does matter, but it isn’t everything: the challenge of modest treatment effects in chronic pain clinical trials. </w:t>
      </w:r>
      <w:r w:rsidRPr="00AB551B">
        <w:rPr>
          <w:rFonts w:ascii="Times New Roman" w:hAnsi="Times New Roman" w:cs="Times New Roman"/>
          <w:i/>
          <w:iCs/>
          <w:sz w:val="24"/>
          <w:szCs w:val="24"/>
          <w:lang w:val="en-IN" w:eastAsia="en-IN"/>
        </w:rPr>
        <w:t>Pain</w:t>
      </w:r>
      <w:r w:rsidRPr="00AB551B">
        <w:rPr>
          <w:rFonts w:ascii="Times New Roman" w:hAnsi="Times New Roman" w:cs="Times New Roman"/>
          <w:sz w:val="24"/>
          <w:szCs w:val="24"/>
          <w:lang w:val="en-IN" w:eastAsia="en-IN"/>
        </w:rPr>
        <w:t xml:space="preserve">, </w:t>
      </w:r>
      <w:r w:rsidRPr="00AB551B">
        <w:rPr>
          <w:rFonts w:ascii="Times New Roman" w:hAnsi="Times New Roman" w:cs="Times New Roman"/>
          <w:i/>
          <w:iCs/>
          <w:sz w:val="24"/>
          <w:szCs w:val="24"/>
          <w:lang w:val="en-IN" w:eastAsia="en-IN"/>
        </w:rPr>
        <w:t>161</w:t>
      </w:r>
      <w:r w:rsidRPr="00AB551B">
        <w:rPr>
          <w:rFonts w:ascii="Times New Roman" w:hAnsi="Times New Roman" w:cs="Times New Roman"/>
          <w:sz w:val="24"/>
          <w:szCs w:val="24"/>
          <w:lang w:val="en-IN" w:eastAsia="en-IN"/>
        </w:rPr>
        <w:t>(Supplement 1), S3–S13. https://doi.org/10.1097/j.pain.0000000000001849</w:t>
      </w:r>
    </w:p>
    <w:p w14:paraId="12BAD94B" w14:textId="77777777" w:rsidR="00743C35" w:rsidRDefault="00743C35" w:rsidP="00277BBF">
      <w:pPr>
        <w:pStyle w:val="BodyText"/>
        <w:widowControl/>
        <w:autoSpaceDE/>
        <w:autoSpaceDN/>
        <w:spacing w:after="160" w:line="276" w:lineRule="auto"/>
        <w:jc w:val="both"/>
        <w:rPr>
          <w:rFonts w:ascii="Times New Roman" w:hAnsi="Times New Roman" w:cs="Times New Roman"/>
          <w:b/>
          <w:bCs/>
          <w:sz w:val="24"/>
          <w:szCs w:val="24"/>
        </w:rPr>
        <w:sectPr w:rsidR="00743C35" w:rsidSect="00F32B7C">
          <w:headerReference w:type="even" r:id="rId24"/>
          <w:headerReference w:type="default" r:id="rId25"/>
          <w:footerReference w:type="even" r:id="rId26"/>
          <w:footerReference w:type="default" r:id="rId27"/>
          <w:headerReference w:type="first" r:id="rId28"/>
          <w:footerReference w:type="first" r:id="rId29"/>
          <w:pgSz w:w="11906" w:h="16838"/>
          <w:pgMar w:top="142" w:right="1133" w:bottom="1440" w:left="1440" w:header="143" w:footer="708" w:gutter="0"/>
          <w:cols w:space="708"/>
          <w:titlePg/>
          <w:docGrid w:linePitch="360"/>
        </w:sectPr>
      </w:pPr>
    </w:p>
    <w:p w14:paraId="2E008A80" w14:textId="77777777" w:rsidR="00277BBF" w:rsidRDefault="00277BBF" w:rsidP="00E67BC3">
      <w:pPr>
        <w:spacing w:after="0" w:line="240" w:lineRule="auto"/>
        <w:ind w:right="445"/>
        <w:jc w:val="both"/>
        <w:rPr>
          <w:sz w:val="20"/>
        </w:rPr>
      </w:pPr>
    </w:p>
    <w:p w14:paraId="0BE2A9BB" w14:textId="77777777" w:rsidR="00421E07" w:rsidRDefault="00421E07" w:rsidP="00E67BC3">
      <w:pPr>
        <w:spacing w:after="0" w:line="240" w:lineRule="auto"/>
        <w:ind w:right="445"/>
        <w:jc w:val="both"/>
        <w:rPr>
          <w:sz w:val="20"/>
        </w:rPr>
      </w:pPr>
    </w:p>
    <w:p w14:paraId="2D3FCCB3" w14:textId="77777777" w:rsidR="00E25D52" w:rsidRPr="00E25D52" w:rsidRDefault="00E25D52" w:rsidP="00E26FE6">
      <w:pPr>
        <w:spacing w:line="276" w:lineRule="auto"/>
        <w:jc w:val="both"/>
        <w:rPr>
          <w:rFonts w:ascii="Times New Roman" w:hAnsi="Times New Roman" w:cs="Times New Roman"/>
          <w:b/>
          <w:bCs/>
          <w:sz w:val="24"/>
          <w:szCs w:val="24"/>
        </w:rPr>
      </w:pPr>
    </w:p>
    <w:sectPr w:rsidR="00E25D52" w:rsidRPr="00E25D52" w:rsidSect="006B378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6E14" w14:textId="77777777" w:rsidR="00D90F1A" w:rsidRDefault="00D90F1A" w:rsidP="0003515C">
      <w:pPr>
        <w:spacing w:after="0" w:line="240" w:lineRule="auto"/>
      </w:pPr>
      <w:r>
        <w:separator/>
      </w:r>
    </w:p>
  </w:endnote>
  <w:endnote w:type="continuationSeparator" w:id="0">
    <w:p w14:paraId="18C50F81" w14:textId="77777777" w:rsidR="00D90F1A" w:rsidRDefault="00D90F1A" w:rsidP="0003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Noto Serif">
    <w:charset w:val="00"/>
    <w:family w:val="roman"/>
    <w:pitch w:val="variable"/>
    <w:sig w:usb0="E00002FF" w:usb1="500078FF" w:usb2="00000029"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4C1F" w14:textId="77777777" w:rsidR="00CC5C3E" w:rsidRDefault="00CC5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916A" w14:textId="5AF16A95" w:rsidR="00CE0850" w:rsidRPr="00A50734" w:rsidRDefault="00CE0850" w:rsidP="00CE0850">
    <w:pPr>
      <w:pStyle w:val="Header"/>
      <w:jc w:val="center"/>
      <w:rPr>
        <w:rFonts w:ascii="Times New Roman" w:hAnsi="Times New Roman" w:cs="Times New Roman"/>
        <w:b/>
        <w:bCs/>
        <w:color w:val="227ACB"/>
      </w:rPr>
    </w:pPr>
    <w:r w:rsidRPr="00A50734">
      <w:rPr>
        <w:rFonts w:ascii="Times New Roman" w:hAnsi="Times New Roman" w:cs="Times New Roman"/>
        <w:b/>
        <w:bCs/>
        <w:color w:val="227ACB"/>
      </w:rPr>
      <w:t>Journal of Pharmaceutical Research and Integrated Medical Sciences (JPRIMS)</w:t>
    </w:r>
  </w:p>
  <w:p w14:paraId="7EF063B9" w14:textId="2159203C" w:rsidR="00CE0850" w:rsidRPr="00A50734" w:rsidRDefault="00CE0850" w:rsidP="00CE0850">
    <w:pPr>
      <w:pStyle w:val="Header"/>
      <w:pBdr>
        <w:bottom w:val="single" w:sz="6" w:space="1" w:color="auto"/>
      </w:pBdr>
      <w:jc w:val="center"/>
      <w:rPr>
        <w:rFonts w:ascii="Times New Roman" w:hAnsi="Times New Roman" w:cs="Times New Roman"/>
        <w:b/>
        <w:bCs/>
        <w:color w:val="227ACB"/>
      </w:rPr>
    </w:pPr>
    <w:r w:rsidRPr="00A50734">
      <w:rPr>
        <w:rFonts w:ascii="Times New Roman" w:hAnsi="Times New Roman" w:cs="Times New Roman"/>
        <w:b/>
        <w:bCs/>
        <w:color w:val="227ACB"/>
      </w:rPr>
      <w:t xml:space="preserve"> ISSN: </w:t>
    </w:r>
    <w:r w:rsidR="00A50734" w:rsidRPr="00A50734">
      <w:rPr>
        <w:rFonts w:ascii="Times New Roman" w:hAnsi="Times New Roman" w:cs="Times New Roman"/>
        <w:b/>
        <w:bCs/>
        <w:color w:val="227ACB"/>
      </w:rPr>
      <w:t>3049-1681</w:t>
    </w:r>
    <w:r w:rsidRPr="00A50734">
      <w:rPr>
        <w:rFonts w:ascii="Times New Roman" w:hAnsi="Times New Roman" w:cs="Times New Roman"/>
        <w:b/>
        <w:bCs/>
        <w:color w:val="227ACB"/>
      </w:rPr>
      <w:t xml:space="preserve"> | Vol. </w:t>
    </w:r>
    <w:r w:rsidR="008071A0">
      <w:rPr>
        <w:rFonts w:ascii="Times New Roman" w:hAnsi="Times New Roman" w:cs="Times New Roman"/>
        <w:b/>
        <w:bCs/>
        <w:color w:val="227ACB"/>
      </w:rPr>
      <w:t>02</w:t>
    </w:r>
    <w:r w:rsidRPr="00A50734">
      <w:rPr>
        <w:rFonts w:ascii="Times New Roman" w:hAnsi="Times New Roman" w:cs="Times New Roman"/>
        <w:b/>
        <w:bCs/>
        <w:color w:val="227ACB"/>
      </w:rPr>
      <w:t xml:space="preserve"> Issue </w:t>
    </w:r>
    <w:r w:rsidR="00D974A3">
      <w:rPr>
        <w:rFonts w:ascii="Times New Roman" w:hAnsi="Times New Roman" w:cs="Times New Roman"/>
        <w:b/>
        <w:bCs/>
        <w:color w:val="227ACB"/>
      </w:rPr>
      <w:t>0</w:t>
    </w:r>
    <w:r w:rsidR="008728EF">
      <w:rPr>
        <w:rFonts w:ascii="Times New Roman" w:hAnsi="Times New Roman" w:cs="Times New Roman"/>
        <w:b/>
        <w:bCs/>
        <w:color w:val="227ACB"/>
      </w:rPr>
      <w:t>9</w:t>
    </w:r>
    <w:r w:rsidRPr="00A50734">
      <w:rPr>
        <w:rFonts w:ascii="Times New Roman" w:hAnsi="Times New Roman" w:cs="Times New Roman"/>
        <w:b/>
        <w:bCs/>
        <w:color w:val="227ACB"/>
      </w:rPr>
      <w:t xml:space="preserve">, </w:t>
    </w:r>
    <w:r w:rsidR="003670A9">
      <w:rPr>
        <w:rFonts w:ascii="Times New Roman" w:hAnsi="Times New Roman" w:cs="Times New Roman"/>
        <w:b/>
        <w:bCs/>
        <w:color w:val="227ACB"/>
      </w:rPr>
      <w:t>Sep</w:t>
    </w:r>
    <w:r w:rsidR="00DE5FEB">
      <w:rPr>
        <w:rFonts w:ascii="Times New Roman" w:hAnsi="Times New Roman" w:cs="Times New Roman"/>
        <w:b/>
        <w:bCs/>
        <w:color w:val="227ACB"/>
      </w:rPr>
      <w:t>.</w:t>
    </w:r>
    <w:r w:rsidR="00C80608">
      <w:rPr>
        <w:rFonts w:ascii="Times New Roman" w:hAnsi="Times New Roman" w:cs="Times New Roman"/>
        <w:b/>
        <w:bCs/>
        <w:color w:val="227ACB"/>
      </w:rPr>
      <w:t>-</w:t>
    </w:r>
    <w:r w:rsidRPr="00A50734">
      <w:rPr>
        <w:rFonts w:ascii="Times New Roman" w:hAnsi="Times New Roman" w:cs="Times New Roman"/>
        <w:b/>
        <w:bCs/>
        <w:color w:val="227ACB"/>
      </w:rPr>
      <w:t xml:space="preserve"> </w:t>
    </w:r>
    <w:r w:rsidR="002219B3">
      <w:rPr>
        <w:rFonts w:ascii="Times New Roman" w:hAnsi="Times New Roman" w:cs="Times New Roman"/>
        <w:b/>
        <w:bCs/>
        <w:color w:val="227ACB"/>
      </w:rPr>
      <w:t>2025</w:t>
    </w:r>
    <w:r w:rsidRPr="00A50734">
      <w:rPr>
        <w:rFonts w:ascii="Times New Roman" w:hAnsi="Times New Roman" w:cs="Times New Roman"/>
        <w:b/>
        <w:bCs/>
        <w:color w:val="227ACB"/>
      </w:rPr>
      <w:t xml:space="preserve"> | pp. </w:t>
    </w:r>
    <w:r w:rsidR="003C773E">
      <w:rPr>
        <w:rFonts w:ascii="Times New Roman" w:hAnsi="Times New Roman" w:cs="Times New Roman"/>
        <w:b/>
        <w:bCs/>
        <w:color w:val="227ACB"/>
      </w:rPr>
      <w:t>61</w:t>
    </w:r>
    <w:r w:rsidR="0024483A">
      <w:rPr>
        <w:rFonts w:ascii="Times New Roman" w:hAnsi="Times New Roman" w:cs="Times New Roman"/>
        <w:b/>
        <w:bCs/>
        <w:color w:val="227ACB"/>
      </w:rPr>
      <w:t>-</w:t>
    </w:r>
    <w:r w:rsidR="003C773E">
      <w:rPr>
        <w:rFonts w:ascii="Times New Roman" w:hAnsi="Times New Roman" w:cs="Times New Roman"/>
        <w:b/>
        <w:bCs/>
        <w:color w:val="227ACB"/>
      </w:rPr>
      <w:t>71</w:t>
    </w:r>
  </w:p>
  <w:p w14:paraId="3BBF3603" w14:textId="31EE444B" w:rsidR="009E46B9" w:rsidRPr="001910BC" w:rsidRDefault="004C1269" w:rsidP="009B068B">
    <w:pPr>
      <w:pStyle w:val="Footer"/>
      <w:jc w:val="center"/>
      <w:rPr>
        <w:b/>
        <w:bCs/>
        <w:color w:val="1D1B11"/>
      </w:rPr>
    </w:pPr>
    <w:r w:rsidRPr="006F6D75">
      <w:rPr>
        <w:rFonts w:ascii="Arial Black"/>
        <w:sz w:val="16"/>
        <w:szCs w:val="16"/>
      </w:rPr>
      <w:t>J. Pharm. Res. Integr. Med. Sci</w:t>
    </w:r>
    <w:r>
      <w:rPr>
        <w:rFonts w:ascii="Arial Black"/>
        <w:sz w:val="16"/>
        <w:szCs w:val="16"/>
      </w:rPr>
      <w:t xml:space="preserve">.                             </w:t>
    </w:r>
    <w:r w:rsidR="007170C7" w:rsidRPr="001910BC">
      <w:rPr>
        <w:rFonts w:ascii="Arial Black"/>
        <w:color w:val="1D1B11"/>
        <w:spacing w:val="4"/>
        <w:sz w:val="16"/>
        <w:szCs w:val="16"/>
        <w:highlight w:val="cyan"/>
      </w:rPr>
      <w:t>https://aktpublication.com/index.php/jprims/index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EF8C" w14:textId="5963F571" w:rsidR="00C43794" w:rsidRPr="00A50734" w:rsidRDefault="00C43794" w:rsidP="00C43794">
    <w:pPr>
      <w:pStyle w:val="Header"/>
      <w:jc w:val="center"/>
      <w:rPr>
        <w:rFonts w:ascii="Times New Roman" w:hAnsi="Times New Roman" w:cs="Times New Roman"/>
        <w:b/>
        <w:bCs/>
        <w:color w:val="227ACB"/>
      </w:rPr>
    </w:pPr>
    <w:r>
      <w:tab/>
    </w:r>
    <w:r w:rsidR="00B13595">
      <w:rPr>
        <w:rFonts w:ascii="Times New Roman" w:hAnsi="Times New Roman" w:cs="Times New Roman"/>
        <w:b/>
        <w:bCs/>
        <w:color w:val="227ACB"/>
      </w:rPr>
      <w:t>Journal</w:t>
    </w:r>
    <w:r w:rsidRPr="00A50734">
      <w:rPr>
        <w:rFonts w:ascii="Times New Roman" w:hAnsi="Times New Roman" w:cs="Times New Roman"/>
        <w:b/>
        <w:bCs/>
        <w:color w:val="227ACB"/>
      </w:rPr>
      <w:t xml:space="preserve"> of Pharmaceutical Research and Integrated Medical Sciences (JPRIMS)</w:t>
    </w:r>
  </w:p>
  <w:p w14:paraId="5560B7E2" w14:textId="6FA6DB9B" w:rsidR="00C43794" w:rsidRPr="00A50734" w:rsidRDefault="00C43794" w:rsidP="00C43794">
    <w:pPr>
      <w:pStyle w:val="Header"/>
      <w:pBdr>
        <w:bottom w:val="single" w:sz="6" w:space="1" w:color="auto"/>
      </w:pBdr>
      <w:jc w:val="center"/>
      <w:rPr>
        <w:rFonts w:ascii="Times New Roman" w:hAnsi="Times New Roman" w:cs="Times New Roman"/>
        <w:b/>
        <w:bCs/>
        <w:color w:val="227ACB"/>
      </w:rPr>
    </w:pPr>
    <w:r w:rsidRPr="00A50734">
      <w:rPr>
        <w:rFonts w:ascii="Times New Roman" w:hAnsi="Times New Roman" w:cs="Times New Roman"/>
        <w:b/>
        <w:bCs/>
        <w:color w:val="227ACB"/>
      </w:rPr>
      <w:t xml:space="preserve"> ISSN: 3049-1681 | Vol. </w:t>
    </w:r>
    <w:r w:rsidR="004F79CE">
      <w:rPr>
        <w:rFonts w:ascii="Times New Roman" w:hAnsi="Times New Roman" w:cs="Times New Roman"/>
        <w:b/>
        <w:bCs/>
        <w:color w:val="227ACB"/>
      </w:rPr>
      <w:t>02</w:t>
    </w:r>
    <w:r w:rsidRPr="00A50734">
      <w:rPr>
        <w:rFonts w:ascii="Times New Roman" w:hAnsi="Times New Roman" w:cs="Times New Roman"/>
        <w:b/>
        <w:bCs/>
        <w:color w:val="227ACB"/>
      </w:rPr>
      <w:t xml:space="preserve"> Issue </w:t>
    </w:r>
    <w:r w:rsidR="004F79CE">
      <w:rPr>
        <w:rFonts w:ascii="Times New Roman" w:hAnsi="Times New Roman" w:cs="Times New Roman"/>
        <w:b/>
        <w:bCs/>
        <w:color w:val="227ACB"/>
      </w:rPr>
      <w:t>0</w:t>
    </w:r>
    <w:r w:rsidR="008728EF">
      <w:rPr>
        <w:rFonts w:ascii="Times New Roman" w:hAnsi="Times New Roman" w:cs="Times New Roman"/>
        <w:b/>
        <w:bCs/>
        <w:color w:val="227ACB"/>
      </w:rPr>
      <w:t>9</w:t>
    </w:r>
    <w:r w:rsidRPr="00A50734">
      <w:rPr>
        <w:rFonts w:ascii="Times New Roman" w:hAnsi="Times New Roman" w:cs="Times New Roman"/>
        <w:b/>
        <w:bCs/>
        <w:color w:val="227ACB"/>
      </w:rPr>
      <w:t>,</w:t>
    </w:r>
    <w:r w:rsidR="00992111">
      <w:rPr>
        <w:rFonts w:ascii="Times New Roman" w:hAnsi="Times New Roman" w:cs="Times New Roman"/>
        <w:b/>
        <w:bCs/>
        <w:color w:val="227ACB"/>
      </w:rPr>
      <w:t xml:space="preserve"> </w:t>
    </w:r>
    <w:r w:rsidR="008728EF">
      <w:rPr>
        <w:rFonts w:ascii="Times New Roman" w:hAnsi="Times New Roman" w:cs="Times New Roman"/>
        <w:b/>
        <w:bCs/>
        <w:color w:val="227ACB"/>
      </w:rPr>
      <w:t>Sep</w:t>
    </w:r>
    <w:r w:rsidR="00E25D52">
      <w:rPr>
        <w:rFonts w:ascii="Times New Roman" w:hAnsi="Times New Roman" w:cs="Times New Roman"/>
        <w:b/>
        <w:bCs/>
        <w:color w:val="227ACB"/>
      </w:rPr>
      <w:t>-</w:t>
    </w:r>
    <w:r w:rsidR="00C229F5" w:rsidRPr="00A50734">
      <w:rPr>
        <w:rFonts w:ascii="Times New Roman" w:hAnsi="Times New Roman" w:cs="Times New Roman"/>
        <w:b/>
        <w:bCs/>
        <w:color w:val="227ACB"/>
      </w:rPr>
      <w:t>2025</w:t>
    </w:r>
    <w:r w:rsidRPr="00A50734">
      <w:rPr>
        <w:rFonts w:ascii="Times New Roman" w:hAnsi="Times New Roman" w:cs="Times New Roman"/>
        <w:b/>
        <w:bCs/>
        <w:color w:val="227ACB"/>
      </w:rPr>
      <w:t xml:space="preserve"> | pp.</w:t>
    </w:r>
    <w:r w:rsidR="00CA5403">
      <w:rPr>
        <w:rFonts w:ascii="Times New Roman" w:hAnsi="Times New Roman" w:cs="Times New Roman"/>
        <w:b/>
        <w:bCs/>
        <w:color w:val="227ACB"/>
      </w:rPr>
      <w:t xml:space="preserve"> </w:t>
    </w:r>
    <w:r w:rsidR="003C773E">
      <w:rPr>
        <w:rFonts w:ascii="Times New Roman" w:hAnsi="Times New Roman" w:cs="Times New Roman"/>
        <w:b/>
        <w:bCs/>
        <w:color w:val="227ACB"/>
      </w:rPr>
      <w:t>61</w:t>
    </w:r>
    <w:r w:rsidR="00CA5403">
      <w:rPr>
        <w:rFonts w:ascii="Times New Roman" w:hAnsi="Times New Roman" w:cs="Times New Roman"/>
        <w:b/>
        <w:bCs/>
        <w:color w:val="227ACB"/>
      </w:rPr>
      <w:t>-</w:t>
    </w:r>
    <w:r w:rsidR="003C773E">
      <w:rPr>
        <w:rFonts w:ascii="Times New Roman" w:hAnsi="Times New Roman" w:cs="Times New Roman"/>
        <w:b/>
        <w:bCs/>
        <w:color w:val="227ACB"/>
      </w:rPr>
      <w:t>71</w:t>
    </w:r>
  </w:p>
  <w:p w14:paraId="7A7B33D6" w14:textId="3717E73B" w:rsidR="00C43794" w:rsidRPr="001910BC" w:rsidRDefault="00E16EE6" w:rsidP="00C43794">
    <w:pPr>
      <w:pStyle w:val="Footer"/>
      <w:jc w:val="center"/>
      <w:rPr>
        <w:b/>
        <w:bCs/>
        <w:color w:val="1D1B11"/>
      </w:rPr>
    </w:pPr>
    <w:r w:rsidRPr="006F6D75">
      <w:rPr>
        <w:rFonts w:ascii="Arial Black"/>
        <w:sz w:val="16"/>
        <w:szCs w:val="16"/>
      </w:rPr>
      <w:t>J. Pharm. Res. Integr. Med. Sci</w:t>
    </w:r>
    <w:r w:rsidR="004C1269">
      <w:rPr>
        <w:rFonts w:ascii="Arial Black"/>
        <w:sz w:val="16"/>
        <w:szCs w:val="16"/>
      </w:rPr>
      <w:t xml:space="preserve">                               </w:t>
    </w:r>
    <w:r w:rsidR="00C43794" w:rsidRPr="001910BC">
      <w:rPr>
        <w:rFonts w:ascii="Arial Black"/>
        <w:color w:val="1D1B11"/>
        <w:spacing w:val="4"/>
        <w:sz w:val="16"/>
        <w:szCs w:val="16"/>
        <w:highlight w:val="lightGray"/>
      </w:rPr>
      <w:t>https://aktpublication.com/index.php/jprims/index</w:t>
    </w:r>
  </w:p>
  <w:p w14:paraId="2CEF01BA" w14:textId="4E1E96E6" w:rsidR="00761CC2" w:rsidRDefault="00A701CB" w:rsidP="00A701CB">
    <w:pPr>
      <w:pStyle w:val="Footer"/>
      <w:tabs>
        <w:tab w:val="clear" w:pos="4513"/>
        <w:tab w:val="clear" w:pos="9026"/>
        <w:tab w:val="left" w:pos="52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C8C58" w14:textId="77777777" w:rsidR="00D90F1A" w:rsidRDefault="00D90F1A" w:rsidP="0003515C">
      <w:pPr>
        <w:spacing w:after="0" w:line="240" w:lineRule="auto"/>
      </w:pPr>
      <w:r>
        <w:separator/>
      </w:r>
    </w:p>
  </w:footnote>
  <w:footnote w:type="continuationSeparator" w:id="0">
    <w:p w14:paraId="77F4F0F0" w14:textId="77777777" w:rsidR="00D90F1A" w:rsidRDefault="00D90F1A" w:rsidP="0003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5AB6" w14:textId="77777777" w:rsidR="00CC5C3E" w:rsidRDefault="00CC5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5F8A" w14:textId="0B21F1E4" w:rsidR="009E46B9" w:rsidRDefault="003E2FCC" w:rsidP="009E46B9">
    <w:pPr>
      <w:pStyle w:val="Header"/>
      <w:tabs>
        <w:tab w:val="left" w:pos="6370"/>
      </w:tabs>
      <w:rPr>
        <w:sz w:val="24"/>
        <w:szCs w:val="24"/>
      </w:rPr>
    </w:pPr>
    <w:r>
      <w:rPr>
        <w:noProof/>
        <w:sz w:val="24"/>
        <w:szCs w:val="24"/>
      </w:rPr>
      <mc:AlternateContent>
        <mc:Choice Requires="wps">
          <w:drawing>
            <wp:anchor distT="0" distB="0" distL="114300" distR="114300" simplePos="0" relativeHeight="251661312" behindDoc="0" locked="0" layoutInCell="1" allowOverlap="1" wp14:anchorId="30495E45" wp14:editId="51537F5B">
              <wp:simplePos x="0" y="0"/>
              <wp:positionH relativeFrom="page">
                <wp:align>left</wp:align>
              </wp:positionH>
              <wp:positionV relativeFrom="paragraph">
                <wp:posOffset>4445</wp:posOffset>
              </wp:positionV>
              <wp:extent cx="7435850" cy="641350"/>
              <wp:effectExtent l="0" t="0" r="12700" b="25400"/>
              <wp:wrapNone/>
              <wp:docPr id="1792296901" name="Text Box 8"/>
              <wp:cNvGraphicFramePr/>
              <a:graphic xmlns:a="http://schemas.openxmlformats.org/drawingml/2006/main">
                <a:graphicData uri="http://schemas.microsoft.com/office/word/2010/wordprocessingShape">
                  <wps:wsp>
                    <wps:cNvSpPr txBox="1"/>
                    <wps:spPr>
                      <a:xfrm>
                        <a:off x="0" y="0"/>
                        <a:ext cx="7435850" cy="641350"/>
                      </a:xfrm>
                      <a:prstGeom prst="rect">
                        <a:avLst/>
                      </a:prstGeom>
                      <a:solidFill>
                        <a:schemeClr val="lt1"/>
                      </a:solidFill>
                      <a:ln w="6350">
                        <a:solidFill>
                          <a:schemeClr val="bg1"/>
                        </a:solidFill>
                      </a:ln>
                    </wps:spPr>
                    <wps:txbx>
                      <w:txbxContent>
                        <w:p w14:paraId="614D99C0" w14:textId="77777777" w:rsidR="003E2FCC" w:rsidRPr="00F20653" w:rsidRDefault="003E2FCC" w:rsidP="003E2FCC">
                          <w:pPr>
                            <w:pStyle w:val="BodyText"/>
                            <w:spacing w:before="82"/>
                            <w:jc w:val="center"/>
                            <w:rPr>
                              <w:rStyle w:val="Strong"/>
                              <w:rFonts w:ascii="Noto Serif" w:hAnsi="Noto Serif" w:cs="Noto Serif"/>
                              <w:sz w:val="24"/>
                              <w:szCs w:val="24"/>
                              <w:shd w:val="clear" w:color="auto" w:fill="FFFFFF"/>
                            </w:rPr>
                          </w:pPr>
                          <w:r w:rsidRPr="0043040A">
                            <w:rPr>
                              <w:rStyle w:val="Strong"/>
                              <w:rFonts w:ascii="Noto Serif" w:hAnsi="Noto Serif" w:cs="Noto Serif"/>
                              <w:sz w:val="24"/>
                              <w:szCs w:val="24"/>
                              <w:highlight w:val="lightGray"/>
                              <w:shd w:val="clear" w:color="auto" w:fill="FFFFFF"/>
                            </w:rPr>
                            <w:t>Journal of Pharmaceutical Research and Integrated Medical Sciences (JPRIMS)</w:t>
                          </w:r>
                        </w:p>
                        <w:p w14:paraId="7910369C" w14:textId="5ACDE66E" w:rsidR="003E2FCC" w:rsidRPr="0042265D" w:rsidRDefault="003E2FCC" w:rsidP="00D23A87">
                          <w:pPr>
                            <w:pStyle w:val="BodyText"/>
                            <w:spacing w:before="82"/>
                            <w:jc w:val="center"/>
                            <w:rPr>
                              <w:color w:val="323E04"/>
                              <w:sz w:val="24"/>
                              <w:szCs w:val="24"/>
                            </w:rPr>
                          </w:pPr>
                          <w:r w:rsidRPr="008F172B">
                            <w:rPr>
                              <w:color w:val="323E04"/>
                              <w:w w:val="95"/>
                              <w:sz w:val="24"/>
                              <w:szCs w:val="24"/>
                              <w:highlight w:val="lightGray"/>
                            </w:rPr>
                            <w:t>I</w:t>
                          </w:r>
                          <w:r w:rsidRPr="0043040A">
                            <w:rPr>
                              <w:color w:val="323E04"/>
                              <w:w w:val="95"/>
                              <w:sz w:val="24"/>
                              <w:szCs w:val="24"/>
                              <w:highlight w:val="lightGray"/>
                            </w:rPr>
                            <w:t>SSN:</w:t>
                          </w:r>
                          <w:r w:rsidRPr="0043040A">
                            <w:rPr>
                              <w:color w:val="323E04"/>
                              <w:spacing w:val="-25"/>
                              <w:w w:val="95"/>
                              <w:sz w:val="24"/>
                              <w:szCs w:val="24"/>
                              <w:highlight w:val="lightGray"/>
                            </w:rPr>
                            <w:t xml:space="preserve"> </w:t>
                          </w:r>
                          <w:r w:rsidRPr="0043040A">
                            <w:rPr>
                              <w:color w:val="323E04"/>
                              <w:w w:val="95"/>
                              <w:sz w:val="24"/>
                              <w:szCs w:val="24"/>
                              <w:highlight w:val="lightGray"/>
                            </w:rPr>
                            <w:t xml:space="preserve">3049-1681, </w:t>
                          </w:r>
                          <w:r w:rsidRPr="0043040A">
                            <w:rPr>
                              <w:color w:val="323E04"/>
                              <w:spacing w:val="-24"/>
                              <w:w w:val="95"/>
                              <w:sz w:val="24"/>
                              <w:szCs w:val="24"/>
                              <w:highlight w:val="lightGray"/>
                            </w:rPr>
                            <w:t>Vol.</w:t>
                          </w:r>
                          <w:r w:rsidRPr="0043040A">
                            <w:rPr>
                              <w:color w:val="323E04"/>
                              <w:spacing w:val="-25"/>
                              <w:w w:val="95"/>
                              <w:sz w:val="24"/>
                              <w:szCs w:val="24"/>
                              <w:highlight w:val="lightGray"/>
                            </w:rPr>
                            <w:t xml:space="preserve"> </w:t>
                          </w:r>
                          <w:r w:rsidR="008071A0">
                            <w:rPr>
                              <w:color w:val="323E04"/>
                              <w:w w:val="95"/>
                              <w:sz w:val="24"/>
                              <w:szCs w:val="24"/>
                              <w:highlight w:val="lightGray"/>
                            </w:rPr>
                            <w:t>02</w:t>
                          </w:r>
                          <w:r w:rsidRPr="0043040A">
                            <w:rPr>
                              <w:color w:val="323E04"/>
                              <w:w w:val="95"/>
                              <w:sz w:val="24"/>
                              <w:szCs w:val="24"/>
                              <w:highlight w:val="lightGray"/>
                            </w:rPr>
                            <w:t>,</w:t>
                          </w:r>
                          <w:r w:rsidRPr="0043040A">
                            <w:rPr>
                              <w:color w:val="323E04"/>
                              <w:spacing w:val="-24"/>
                              <w:w w:val="95"/>
                              <w:sz w:val="24"/>
                              <w:szCs w:val="24"/>
                              <w:highlight w:val="lightGray"/>
                            </w:rPr>
                            <w:t xml:space="preserve"> </w:t>
                          </w:r>
                          <w:r w:rsidRPr="0043040A">
                            <w:rPr>
                              <w:color w:val="323E04"/>
                              <w:w w:val="95"/>
                              <w:sz w:val="24"/>
                              <w:szCs w:val="24"/>
                              <w:highlight w:val="lightGray"/>
                            </w:rPr>
                            <w:t>No.</w:t>
                          </w:r>
                          <w:r w:rsidRPr="0043040A">
                            <w:rPr>
                              <w:color w:val="323E04"/>
                              <w:spacing w:val="-23"/>
                              <w:w w:val="95"/>
                              <w:sz w:val="24"/>
                              <w:szCs w:val="24"/>
                              <w:highlight w:val="lightGray"/>
                            </w:rPr>
                            <w:t xml:space="preserve"> </w:t>
                          </w:r>
                          <w:r w:rsidR="008071A0">
                            <w:rPr>
                              <w:color w:val="323E04"/>
                              <w:w w:val="95"/>
                              <w:sz w:val="24"/>
                              <w:szCs w:val="24"/>
                              <w:highlight w:val="lightGray"/>
                            </w:rPr>
                            <w:t>0</w:t>
                          </w:r>
                          <w:r w:rsidR="008728EF">
                            <w:rPr>
                              <w:color w:val="323E04"/>
                              <w:w w:val="95"/>
                              <w:sz w:val="24"/>
                              <w:szCs w:val="24"/>
                              <w:highlight w:val="lightGray"/>
                            </w:rPr>
                            <w:t>9</w:t>
                          </w:r>
                          <w:r w:rsidRPr="0043040A">
                            <w:rPr>
                              <w:color w:val="323E04"/>
                              <w:w w:val="95"/>
                              <w:sz w:val="24"/>
                              <w:szCs w:val="24"/>
                              <w:highlight w:val="lightGray"/>
                            </w:rPr>
                            <w:t>,</w:t>
                          </w:r>
                          <w:r w:rsidRPr="0043040A">
                            <w:rPr>
                              <w:color w:val="323E04"/>
                              <w:spacing w:val="-25"/>
                              <w:w w:val="95"/>
                              <w:sz w:val="24"/>
                              <w:szCs w:val="24"/>
                              <w:highlight w:val="lightGray"/>
                            </w:rPr>
                            <w:t xml:space="preserve"> </w:t>
                          </w:r>
                          <w:r w:rsidRPr="0043040A">
                            <w:rPr>
                              <w:color w:val="323E04"/>
                              <w:w w:val="95"/>
                              <w:sz w:val="24"/>
                              <w:szCs w:val="24"/>
                              <w:highlight w:val="lightGray"/>
                            </w:rPr>
                            <w:t>2025</w:t>
                          </w:r>
                          <w:r w:rsidRPr="0043040A">
                            <w:rPr>
                              <w:color w:val="323E04"/>
                              <w:spacing w:val="-24"/>
                              <w:w w:val="95"/>
                              <w:sz w:val="24"/>
                              <w:szCs w:val="24"/>
                              <w:highlight w:val="lightGray"/>
                            </w:rPr>
                            <w:t xml:space="preserve"> </w:t>
                          </w:r>
                          <w:r w:rsidRPr="0043040A">
                            <w:rPr>
                              <w:color w:val="323E04"/>
                              <w:w w:val="95"/>
                              <w:sz w:val="24"/>
                              <w:szCs w:val="24"/>
                              <w:highlight w:val="lightGray"/>
                            </w:rPr>
                            <w:t>(pp.</w:t>
                          </w:r>
                          <w:r w:rsidR="003C773E">
                            <w:rPr>
                              <w:color w:val="323E04"/>
                              <w:w w:val="95"/>
                              <w:sz w:val="24"/>
                              <w:szCs w:val="24"/>
                              <w:highlight w:val="lightGray"/>
                            </w:rPr>
                            <w:t>61</w:t>
                          </w:r>
                          <w:r w:rsidR="00C279D6">
                            <w:rPr>
                              <w:color w:val="323E04"/>
                              <w:w w:val="95"/>
                              <w:sz w:val="24"/>
                              <w:szCs w:val="24"/>
                              <w:highlight w:val="lightGray"/>
                            </w:rPr>
                            <w:t>-</w:t>
                          </w:r>
                          <w:r w:rsidR="003C773E">
                            <w:rPr>
                              <w:color w:val="323E04"/>
                              <w:w w:val="95"/>
                              <w:sz w:val="24"/>
                              <w:szCs w:val="24"/>
                              <w:highlight w:val="lightGray"/>
                            </w:rPr>
                            <w:t>71</w:t>
                          </w:r>
                          <w:r w:rsidRPr="0043040A">
                            <w:rPr>
                              <w:color w:val="323E04"/>
                              <w:w w:val="95"/>
                              <w:sz w:val="24"/>
                              <w:szCs w:val="24"/>
                              <w:highlight w:val="lightGray"/>
                            </w:rPr>
                            <w:t>)</w:t>
                          </w:r>
                        </w:p>
                        <w:p w14:paraId="7EDCC0D7" w14:textId="77777777" w:rsidR="003E2FCC" w:rsidRDefault="003E2F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95E45" id="_x0000_t202" coordsize="21600,21600" o:spt="202" path="m,l,21600r21600,l21600,xe">
              <v:stroke joinstyle="miter"/>
              <v:path gradientshapeok="t" o:connecttype="rect"/>
            </v:shapetype>
            <v:shape id="Text Box 8" o:spid="_x0000_s1027" type="#_x0000_t202" style="position:absolute;margin-left:0;margin-top:.35pt;width:585.5pt;height:50.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" fillcolor="white [3201]" strokecolor="white [3212]" strokeweight=".5pt">
              <v:textbox>
                <w:txbxContent>
                  <w:p w14:paraId="614D99C0" w14:textId="77777777" w:rsidR="003E2FCC" w:rsidRPr="00F20653" w:rsidRDefault="003E2FCC" w:rsidP="003E2FCC">
                    <w:pPr>
                      <w:pStyle w:val="BodyText"/>
                      <w:spacing w:before="82"/>
                      <w:jc w:val="center"/>
                      <w:rPr>
                        <w:rStyle w:val="Strong"/>
                        <w:rFonts w:ascii="Noto Serif" w:hAnsi="Noto Serif" w:cs="Noto Serif"/>
                        <w:sz w:val="24"/>
                        <w:szCs w:val="24"/>
                        <w:shd w:val="clear" w:color="auto" w:fill="FFFFFF"/>
                      </w:rPr>
                    </w:pPr>
                    <w:r w:rsidRPr="0043040A">
                      <w:rPr>
                        <w:rStyle w:val="Strong"/>
                        <w:rFonts w:ascii="Noto Serif" w:hAnsi="Noto Serif" w:cs="Noto Serif"/>
                        <w:sz w:val="24"/>
                        <w:szCs w:val="24"/>
                        <w:highlight w:val="lightGray"/>
                        <w:shd w:val="clear" w:color="auto" w:fill="FFFFFF"/>
                      </w:rPr>
                      <w:t>Journal of Pharmaceutical Research and Integrated Medical Sciences (JPRIMS)</w:t>
                    </w:r>
                  </w:p>
                  <w:p w14:paraId="7910369C" w14:textId="5ACDE66E" w:rsidR="003E2FCC" w:rsidRPr="0042265D" w:rsidRDefault="003E2FCC" w:rsidP="00D23A87">
                    <w:pPr>
                      <w:pStyle w:val="BodyText"/>
                      <w:spacing w:before="82"/>
                      <w:jc w:val="center"/>
                      <w:rPr>
                        <w:color w:val="323E04"/>
                        <w:sz w:val="24"/>
                        <w:szCs w:val="24"/>
                      </w:rPr>
                    </w:pPr>
                    <w:r w:rsidRPr="008F172B">
                      <w:rPr>
                        <w:color w:val="323E04"/>
                        <w:w w:val="95"/>
                        <w:sz w:val="24"/>
                        <w:szCs w:val="24"/>
                        <w:highlight w:val="lightGray"/>
                      </w:rPr>
                      <w:t>I</w:t>
                    </w:r>
                    <w:r w:rsidRPr="0043040A">
                      <w:rPr>
                        <w:color w:val="323E04"/>
                        <w:w w:val="95"/>
                        <w:sz w:val="24"/>
                        <w:szCs w:val="24"/>
                        <w:highlight w:val="lightGray"/>
                      </w:rPr>
                      <w:t>SSN:</w:t>
                    </w:r>
                    <w:r w:rsidRPr="0043040A">
                      <w:rPr>
                        <w:color w:val="323E04"/>
                        <w:spacing w:val="-25"/>
                        <w:w w:val="95"/>
                        <w:sz w:val="24"/>
                        <w:szCs w:val="24"/>
                        <w:highlight w:val="lightGray"/>
                      </w:rPr>
                      <w:t xml:space="preserve"> </w:t>
                    </w:r>
                    <w:r w:rsidRPr="0043040A">
                      <w:rPr>
                        <w:color w:val="323E04"/>
                        <w:w w:val="95"/>
                        <w:sz w:val="24"/>
                        <w:szCs w:val="24"/>
                        <w:highlight w:val="lightGray"/>
                      </w:rPr>
                      <w:t xml:space="preserve">3049-1681, </w:t>
                    </w:r>
                    <w:r w:rsidRPr="0043040A">
                      <w:rPr>
                        <w:color w:val="323E04"/>
                        <w:spacing w:val="-24"/>
                        <w:w w:val="95"/>
                        <w:sz w:val="24"/>
                        <w:szCs w:val="24"/>
                        <w:highlight w:val="lightGray"/>
                      </w:rPr>
                      <w:t>Vol.</w:t>
                    </w:r>
                    <w:r w:rsidRPr="0043040A">
                      <w:rPr>
                        <w:color w:val="323E04"/>
                        <w:spacing w:val="-25"/>
                        <w:w w:val="95"/>
                        <w:sz w:val="24"/>
                        <w:szCs w:val="24"/>
                        <w:highlight w:val="lightGray"/>
                      </w:rPr>
                      <w:t xml:space="preserve"> </w:t>
                    </w:r>
                    <w:r w:rsidR="008071A0">
                      <w:rPr>
                        <w:color w:val="323E04"/>
                        <w:w w:val="95"/>
                        <w:sz w:val="24"/>
                        <w:szCs w:val="24"/>
                        <w:highlight w:val="lightGray"/>
                      </w:rPr>
                      <w:t>02</w:t>
                    </w:r>
                    <w:r w:rsidRPr="0043040A">
                      <w:rPr>
                        <w:color w:val="323E04"/>
                        <w:w w:val="95"/>
                        <w:sz w:val="24"/>
                        <w:szCs w:val="24"/>
                        <w:highlight w:val="lightGray"/>
                      </w:rPr>
                      <w:t>,</w:t>
                    </w:r>
                    <w:r w:rsidRPr="0043040A">
                      <w:rPr>
                        <w:color w:val="323E04"/>
                        <w:spacing w:val="-24"/>
                        <w:w w:val="95"/>
                        <w:sz w:val="24"/>
                        <w:szCs w:val="24"/>
                        <w:highlight w:val="lightGray"/>
                      </w:rPr>
                      <w:t xml:space="preserve"> </w:t>
                    </w:r>
                    <w:r w:rsidRPr="0043040A">
                      <w:rPr>
                        <w:color w:val="323E04"/>
                        <w:w w:val="95"/>
                        <w:sz w:val="24"/>
                        <w:szCs w:val="24"/>
                        <w:highlight w:val="lightGray"/>
                      </w:rPr>
                      <w:t>No.</w:t>
                    </w:r>
                    <w:r w:rsidRPr="0043040A">
                      <w:rPr>
                        <w:color w:val="323E04"/>
                        <w:spacing w:val="-23"/>
                        <w:w w:val="95"/>
                        <w:sz w:val="24"/>
                        <w:szCs w:val="24"/>
                        <w:highlight w:val="lightGray"/>
                      </w:rPr>
                      <w:t xml:space="preserve"> </w:t>
                    </w:r>
                    <w:r w:rsidR="008071A0">
                      <w:rPr>
                        <w:color w:val="323E04"/>
                        <w:w w:val="95"/>
                        <w:sz w:val="24"/>
                        <w:szCs w:val="24"/>
                        <w:highlight w:val="lightGray"/>
                      </w:rPr>
                      <w:t>0</w:t>
                    </w:r>
                    <w:r w:rsidR="008728EF">
                      <w:rPr>
                        <w:color w:val="323E04"/>
                        <w:w w:val="95"/>
                        <w:sz w:val="24"/>
                        <w:szCs w:val="24"/>
                        <w:highlight w:val="lightGray"/>
                      </w:rPr>
                      <w:t>9</w:t>
                    </w:r>
                    <w:r w:rsidRPr="0043040A">
                      <w:rPr>
                        <w:color w:val="323E04"/>
                        <w:w w:val="95"/>
                        <w:sz w:val="24"/>
                        <w:szCs w:val="24"/>
                        <w:highlight w:val="lightGray"/>
                      </w:rPr>
                      <w:t>,</w:t>
                    </w:r>
                    <w:r w:rsidRPr="0043040A">
                      <w:rPr>
                        <w:color w:val="323E04"/>
                        <w:spacing w:val="-25"/>
                        <w:w w:val="95"/>
                        <w:sz w:val="24"/>
                        <w:szCs w:val="24"/>
                        <w:highlight w:val="lightGray"/>
                      </w:rPr>
                      <w:t xml:space="preserve"> </w:t>
                    </w:r>
                    <w:r w:rsidRPr="0043040A">
                      <w:rPr>
                        <w:color w:val="323E04"/>
                        <w:w w:val="95"/>
                        <w:sz w:val="24"/>
                        <w:szCs w:val="24"/>
                        <w:highlight w:val="lightGray"/>
                      </w:rPr>
                      <w:t>2025</w:t>
                    </w:r>
                    <w:r w:rsidRPr="0043040A">
                      <w:rPr>
                        <w:color w:val="323E04"/>
                        <w:spacing w:val="-24"/>
                        <w:w w:val="95"/>
                        <w:sz w:val="24"/>
                        <w:szCs w:val="24"/>
                        <w:highlight w:val="lightGray"/>
                      </w:rPr>
                      <w:t xml:space="preserve"> </w:t>
                    </w:r>
                    <w:r w:rsidRPr="0043040A">
                      <w:rPr>
                        <w:color w:val="323E04"/>
                        <w:w w:val="95"/>
                        <w:sz w:val="24"/>
                        <w:szCs w:val="24"/>
                        <w:highlight w:val="lightGray"/>
                      </w:rPr>
                      <w:t>(pp.</w:t>
                    </w:r>
                    <w:r w:rsidR="003C773E">
                      <w:rPr>
                        <w:color w:val="323E04"/>
                        <w:w w:val="95"/>
                        <w:sz w:val="24"/>
                        <w:szCs w:val="24"/>
                        <w:highlight w:val="lightGray"/>
                      </w:rPr>
                      <w:t>61</w:t>
                    </w:r>
                    <w:r w:rsidR="00C279D6">
                      <w:rPr>
                        <w:color w:val="323E04"/>
                        <w:w w:val="95"/>
                        <w:sz w:val="24"/>
                        <w:szCs w:val="24"/>
                        <w:highlight w:val="lightGray"/>
                      </w:rPr>
                      <w:t>-</w:t>
                    </w:r>
                    <w:r w:rsidR="003C773E">
                      <w:rPr>
                        <w:color w:val="323E04"/>
                        <w:w w:val="95"/>
                        <w:sz w:val="24"/>
                        <w:szCs w:val="24"/>
                        <w:highlight w:val="lightGray"/>
                      </w:rPr>
                      <w:t>71</w:t>
                    </w:r>
                    <w:r w:rsidRPr="0043040A">
                      <w:rPr>
                        <w:color w:val="323E04"/>
                        <w:w w:val="95"/>
                        <w:sz w:val="24"/>
                        <w:szCs w:val="24"/>
                        <w:highlight w:val="lightGray"/>
                      </w:rPr>
                      <w:t>)</w:t>
                    </w:r>
                  </w:p>
                  <w:p w14:paraId="7EDCC0D7" w14:textId="77777777" w:rsidR="003E2FCC" w:rsidRDefault="003E2FCC"/>
                </w:txbxContent>
              </v:textbox>
              <w10:wrap anchorx="page"/>
            </v:shape>
          </w:pict>
        </mc:Fallback>
      </mc:AlternateContent>
    </w:r>
    <w:r w:rsidR="008938CB">
      <w:rPr>
        <w:noProof/>
        <w:sz w:val="24"/>
        <w:szCs w:val="24"/>
      </w:rPr>
      <mc:AlternateContent>
        <mc:Choice Requires="wps">
          <w:drawing>
            <wp:anchor distT="0" distB="0" distL="114300" distR="114300" simplePos="0" relativeHeight="251660288" behindDoc="0" locked="0" layoutInCell="1" allowOverlap="1" wp14:anchorId="054C9508" wp14:editId="652765C3">
              <wp:simplePos x="0" y="0"/>
              <wp:positionH relativeFrom="column">
                <wp:posOffset>-666750</wp:posOffset>
              </wp:positionH>
              <wp:positionV relativeFrom="paragraph">
                <wp:posOffset>-284480</wp:posOffset>
              </wp:positionV>
              <wp:extent cx="1250950" cy="831850"/>
              <wp:effectExtent l="0" t="0" r="0" b="6350"/>
              <wp:wrapNone/>
              <wp:docPr id="1063671640" name="Text Box 11"/>
              <wp:cNvGraphicFramePr/>
              <a:graphic xmlns:a="http://schemas.openxmlformats.org/drawingml/2006/main">
                <a:graphicData uri="http://schemas.microsoft.com/office/word/2010/wordprocessingShape">
                  <wps:wsp>
                    <wps:cNvSpPr txBox="1"/>
                    <wps:spPr>
                      <a:xfrm>
                        <a:off x="0" y="0"/>
                        <a:ext cx="1250950" cy="831850"/>
                      </a:xfrm>
                      <a:prstGeom prst="rect">
                        <a:avLst/>
                      </a:prstGeom>
                      <a:noFill/>
                      <a:ln>
                        <a:noFill/>
                      </a:ln>
                    </wps:spPr>
                    <wps:style>
                      <a:lnRef idx="0">
                        <a:scrgbClr r="0" g="0" b="0"/>
                      </a:lnRef>
                      <a:fillRef idx="0">
                        <a:scrgbClr r="0" g="0" b="0"/>
                      </a:fillRef>
                      <a:effectRef idx="0">
                        <a:scrgbClr r="0" g="0" b="0"/>
                      </a:effectRef>
                      <a:fontRef idx="minor">
                        <a:schemeClr val="accent5"/>
                      </a:fontRef>
                    </wps:style>
                    <wps:txbx>
                      <w:txbxContent>
                        <w:p w14:paraId="2E74B773" w14:textId="71493B5E" w:rsidR="008938CB" w:rsidRDefault="008938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C9508" id="Text Box 11" o:spid="_x0000_s1028" type="#_x0000_t202" style="position:absolute;margin-left:-52.5pt;margin-top:-22.4pt;width:98.5pt;height: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" filled="f" stroked="f">
              <v:textbox>
                <w:txbxContent>
                  <w:p w14:paraId="2E74B773" w14:textId="71493B5E" w:rsidR="008938CB" w:rsidRDefault="008938CB"/>
                </w:txbxContent>
              </v:textbox>
            </v:shape>
          </w:pict>
        </mc:Fallback>
      </mc:AlternateContent>
    </w:r>
    <w:r w:rsidR="00B834DF">
      <w:rPr>
        <w:noProof/>
        <w:sz w:val="24"/>
        <w:szCs w:val="24"/>
      </w:rPr>
      <mc:AlternateContent>
        <mc:Choice Requires="wps">
          <w:drawing>
            <wp:anchor distT="0" distB="0" distL="114300" distR="114300" simplePos="0" relativeHeight="251659264" behindDoc="0" locked="0" layoutInCell="1" allowOverlap="1" wp14:anchorId="5D3D0D66" wp14:editId="4ED3AA57">
              <wp:simplePos x="0" y="0"/>
              <wp:positionH relativeFrom="column">
                <wp:posOffset>-730250</wp:posOffset>
              </wp:positionH>
              <wp:positionV relativeFrom="paragraph">
                <wp:posOffset>-316230</wp:posOffset>
              </wp:positionV>
              <wp:extent cx="7150100" cy="920750"/>
              <wp:effectExtent l="0" t="0" r="12700" b="12700"/>
              <wp:wrapNone/>
              <wp:docPr id="357126724" name="Text Box 8"/>
              <wp:cNvGraphicFramePr/>
              <a:graphic xmlns:a="http://schemas.openxmlformats.org/drawingml/2006/main">
                <a:graphicData uri="http://schemas.microsoft.com/office/word/2010/wordprocessingShape">
                  <wps:wsp>
                    <wps:cNvSpPr txBox="1"/>
                    <wps:spPr>
                      <a:xfrm>
                        <a:off x="0" y="0"/>
                        <a:ext cx="7150100" cy="920750"/>
                      </a:xfrm>
                      <a:prstGeom prst="rect">
                        <a:avLst/>
                      </a:prstGeom>
                      <a:solidFill>
                        <a:schemeClr val="lt1"/>
                      </a:solidFill>
                      <a:ln w="6350">
                        <a:solidFill>
                          <a:schemeClr val="bg1"/>
                        </a:solidFill>
                      </a:ln>
                    </wps:spPr>
                    <wps:txbx>
                      <w:txbxContent>
                        <w:tbl>
                          <w:tblPr>
                            <w:tblW w:w="2310" w:type="dxa"/>
                            <w:tblInd w:w="8796" w:type="dxa"/>
                            <w:tblLook w:val="0000" w:firstRow="0" w:lastRow="0" w:firstColumn="0" w:lastColumn="0" w:noHBand="0" w:noVBand="0"/>
                          </w:tblPr>
                          <w:tblGrid>
                            <w:gridCol w:w="2310"/>
                          </w:tblGrid>
                          <w:tr w:rsidR="00693652" w14:paraId="7443D043" w14:textId="77777777" w:rsidTr="00F72C2C">
                            <w:trPr>
                              <w:trHeight w:val="1655"/>
                            </w:trPr>
                            <w:tc>
                              <w:tcPr>
                                <w:tcW w:w="2310" w:type="dxa"/>
                              </w:tcPr>
                              <w:p w14:paraId="1E105970" w14:textId="21777E9C" w:rsidR="00693652" w:rsidRDefault="00693652" w:rsidP="00693652">
                                <w:pPr>
                                  <w:pStyle w:val="BodyText"/>
                                  <w:spacing w:before="82"/>
                                  <w:jc w:val="center"/>
                                  <w:rPr>
                                    <w:rStyle w:val="Strong"/>
                                    <w:rFonts w:ascii="Noto Serif" w:hAnsi="Noto Serif" w:cs="Noto Serif"/>
                                    <w:sz w:val="24"/>
                                    <w:szCs w:val="24"/>
                                    <w:shd w:val="clear" w:color="auto" w:fill="FFFFFF"/>
                                  </w:rPr>
                                </w:pPr>
                              </w:p>
                            </w:tc>
                          </w:tr>
                        </w:tbl>
                        <w:p w14:paraId="08EFEB0B" w14:textId="276E6B25" w:rsidR="00684E6D" w:rsidRPr="00F20653" w:rsidRDefault="001B0FED" w:rsidP="00693652">
                          <w:pPr>
                            <w:pStyle w:val="BodyText"/>
                            <w:spacing w:before="82"/>
                            <w:jc w:val="center"/>
                            <w:rPr>
                              <w:sz w:val="28"/>
                              <w:szCs w:val="24"/>
                            </w:rPr>
                          </w:pPr>
                          <w:r>
                            <w:rPr>
                              <w:rStyle w:val="Strong"/>
                              <w:rFonts w:ascii="Noto Serif" w:hAnsi="Noto Serif" w:cs="Noto Serif"/>
                              <w:sz w:val="24"/>
                              <w:szCs w:val="24"/>
                              <w:shd w:val="clear" w:color="auto" w:fill="FFFFFF"/>
                            </w:rPr>
                            <w:t xml:space="preserve">                       </w:t>
                          </w:r>
                          <w:r w:rsidR="00693652">
                            <w:rPr>
                              <w:rStyle w:val="Strong"/>
                              <w:rFonts w:ascii="Noto Serif" w:hAnsi="Noto Serif" w:cs="Noto Serif"/>
                              <w:sz w:val="24"/>
                              <w:szCs w:val="24"/>
                              <w:shd w:val="clear" w:color="auto" w:fill="FFFFFF"/>
                            </w:rPr>
                            <w:t xml:space="preserve"> </w:t>
                          </w:r>
                        </w:p>
                        <w:p w14:paraId="680EEE78" w14:textId="39C8D6A4" w:rsidR="00B834DF" w:rsidRPr="00684E6D" w:rsidRDefault="00693652" w:rsidP="00693652">
                          <w:pPr>
                            <w:rPr>
                              <w:sz w:val="18"/>
                              <w:szCs w:val="18"/>
                            </w:rPr>
                          </w:pPr>
                          <w:r>
                            <w:rPr>
                              <w:noProof/>
                              <w:sz w:val="18"/>
                              <w:szCs w:val="18"/>
                            </w:rPr>
                            <w:drawing>
                              <wp:inline distT="0" distB="0" distL="0" distR="0" wp14:anchorId="68DF245F" wp14:editId="700CE999">
                                <wp:extent cx="822960" cy="822960"/>
                                <wp:effectExtent l="0" t="0" r="0" b="0"/>
                                <wp:docPr id="17595410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88629" name="Picture 1279788629"/>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D0D66" id="_x0000_s1029" type="#_x0000_t202" style="position:absolute;margin-left:-57.5pt;margin-top:-24.9pt;width:563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" fillcolor="white [3201]" strokecolor="white [3212]" strokeweight=".5pt">
              <v:textbox>
                <w:txbxContent>
                  <w:tbl>
                    <w:tblPr>
                      <w:tblW w:w="2310" w:type="dxa"/>
                      <w:tblInd w:w="8796" w:type="dxa"/>
                      <w:tblLook w:val="0000" w:firstRow="0" w:lastRow="0" w:firstColumn="0" w:lastColumn="0" w:noHBand="0" w:noVBand="0"/>
                    </w:tblPr>
                    <w:tblGrid>
                      <w:gridCol w:w="2310"/>
                    </w:tblGrid>
                    <w:tr w:rsidR="00693652" w14:paraId="7443D043" w14:textId="77777777" w:rsidTr="00F72C2C">
                      <w:trPr>
                        <w:trHeight w:val="1655"/>
                      </w:trPr>
                      <w:tc>
                        <w:tcPr>
                          <w:tcW w:w="2310" w:type="dxa"/>
                        </w:tcPr>
                        <w:p w14:paraId="1E105970" w14:textId="21777E9C" w:rsidR="00693652" w:rsidRDefault="00693652" w:rsidP="00693652">
                          <w:pPr>
                            <w:pStyle w:val="BodyText"/>
                            <w:spacing w:before="82"/>
                            <w:jc w:val="center"/>
                            <w:rPr>
                              <w:rStyle w:val="Strong"/>
                              <w:rFonts w:ascii="Noto Serif" w:hAnsi="Noto Serif" w:cs="Noto Serif"/>
                              <w:sz w:val="24"/>
                              <w:szCs w:val="24"/>
                              <w:shd w:val="clear" w:color="auto" w:fill="FFFFFF"/>
                            </w:rPr>
                          </w:pPr>
                        </w:p>
                      </w:tc>
                    </w:tr>
                  </w:tbl>
                  <w:p w14:paraId="08EFEB0B" w14:textId="276E6B25" w:rsidR="00684E6D" w:rsidRPr="00F20653" w:rsidRDefault="001B0FED" w:rsidP="00693652">
                    <w:pPr>
                      <w:pStyle w:val="BodyText"/>
                      <w:spacing w:before="82"/>
                      <w:jc w:val="center"/>
                      <w:rPr>
                        <w:sz w:val="28"/>
                        <w:szCs w:val="24"/>
                      </w:rPr>
                    </w:pPr>
                    <w:r>
                      <w:rPr>
                        <w:rStyle w:val="Strong"/>
                        <w:rFonts w:ascii="Noto Serif" w:hAnsi="Noto Serif" w:cs="Noto Serif"/>
                        <w:sz w:val="24"/>
                        <w:szCs w:val="24"/>
                        <w:shd w:val="clear" w:color="auto" w:fill="FFFFFF"/>
                      </w:rPr>
                      <w:t xml:space="preserve">                       </w:t>
                    </w:r>
                    <w:r w:rsidR="00693652">
                      <w:rPr>
                        <w:rStyle w:val="Strong"/>
                        <w:rFonts w:ascii="Noto Serif" w:hAnsi="Noto Serif" w:cs="Noto Serif"/>
                        <w:sz w:val="24"/>
                        <w:szCs w:val="24"/>
                        <w:shd w:val="clear" w:color="auto" w:fill="FFFFFF"/>
                      </w:rPr>
                      <w:t xml:space="preserve"> </w:t>
                    </w:r>
                  </w:p>
                  <w:p w14:paraId="680EEE78" w14:textId="39C8D6A4" w:rsidR="00B834DF" w:rsidRPr="00684E6D" w:rsidRDefault="00693652" w:rsidP="00693652">
                    <w:pPr>
                      <w:rPr>
                        <w:sz w:val="18"/>
                        <w:szCs w:val="18"/>
                      </w:rPr>
                    </w:pPr>
                    <w:r>
                      <w:rPr>
                        <w:noProof/>
                        <w:sz w:val="18"/>
                        <w:szCs w:val="18"/>
                      </w:rPr>
                      <w:drawing>
                        <wp:inline distT="0" distB="0" distL="0" distR="0" wp14:anchorId="68DF245F" wp14:editId="700CE999">
                          <wp:extent cx="822960" cy="822960"/>
                          <wp:effectExtent l="0" t="0" r="0" b="0"/>
                          <wp:docPr id="17595410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88629" name="Picture 1279788629"/>
                                  <pic:cNvPicPr/>
                                </pic:nvPicPr>
                                <pic:blipFill>
                                  <a:blip r:embed="rId1">
                                    <a:extLst>
                                      <a:ext uri="{28A0092B-C50C-407E-A947-70E740481C1C}">
                                        <a14:useLocalDpi xmlns:a14="http://schemas.microsoft.com/office/drawing/2010/main" val="0"/>
                                      </a:ext>
                                    </a:extLst>
                                  </a:blip>
                                  <a:stretch>
                                    <a:fillRect/>
                                  </a:stretch>
                                </pic:blipFill>
                                <pic:spPr>
                                  <a:xfrm>
                                    <a:off x="0" y="0"/>
                                    <a:ext cx="822960" cy="822960"/>
                                  </a:xfrm>
                                  <a:prstGeom prst="rect">
                                    <a:avLst/>
                                  </a:prstGeom>
                                </pic:spPr>
                              </pic:pic>
                            </a:graphicData>
                          </a:graphic>
                        </wp:inline>
                      </w:drawing>
                    </w:r>
                  </w:p>
                </w:txbxContent>
              </v:textbox>
            </v:shape>
          </w:pict>
        </mc:Fallback>
      </mc:AlternateContent>
    </w:r>
  </w:p>
  <w:p w14:paraId="063BCE7E" w14:textId="77777777" w:rsidR="001B0FED" w:rsidRDefault="001B0FED" w:rsidP="009E46B9">
    <w:pPr>
      <w:pStyle w:val="Header"/>
      <w:tabs>
        <w:tab w:val="left" w:pos="6370"/>
      </w:tabs>
      <w:rPr>
        <w:sz w:val="24"/>
        <w:szCs w:val="24"/>
      </w:rPr>
    </w:pPr>
  </w:p>
  <w:p w14:paraId="3CB0A5BB" w14:textId="42471458" w:rsidR="00091BAC" w:rsidRDefault="007170C7" w:rsidP="009E46B9">
    <w:pPr>
      <w:pStyle w:val="Header"/>
      <w:tabs>
        <w:tab w:val="left" w:pos="6370"/>
      </w:tabs>
      <w:rPr>
        <w:sz w:val="24"/>
        <w:szCs w:val="24"/>
      </w:rPr>
    </w:pPr>
    <w:r>
      <w:rPr>
        <w:noProof/>
        <w:sz w:val="24"/>
        <w:szCs w:val="24"/>
      </w:rPr>
      <mc:AlternateContent>
        <mc:Choice Requires="wps">
          <w:drawing>
            <wp:anchor distT="0" distB="0" distL="114300" distR="114300" simplePos="0" relativeHeight="251658240" behindDoc="1" locked="0" layoutInCell="1" allowOverlap="1" wp14:anchorId="130DE87C" wp14:editId="3DBCEACE">
              <wp:simplePos x="0" y="0"/>
              <wp:positionH relativeFrom="margin">
                <wp:align>center</wp:align>
              </wp:positionH>
              <wp:positionV relativeFrom="paragraph">
                <wp:posOffset>264160</wp:posOffset>
              </wp:positionV>
              <wp:extent cx="7150100" cy="260350"/>
              <wp:effectExtent l="0" t="0" r="0" b="6350"/>
              <wp:wrapNone/>
              <wp:docPr id="1128269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0" cy="260350"/>
                      </a:xfrm>
                      <a:prstGeom prst="rect">
                        <a:avLst/>
                      </a:prstGeom>
                      <a:solidFill>
                        <a:srgbClr val="D4EF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9627B" w14:textId="53C95125" w:rsidR="00F5260D" w:rsidRPr="00F65002" w:rsidRDefault="004C1269" w:rsidP="00415834">
                          <w:pPr>
                            <w:tabs>
                              <w:tab w:val="left" w:pos="8069"/>
                            </w:tabs>
                            <w:spacing w:line="298" w:lineRule="exact"/>
                            <w:rPr>
                              <w:rFonts w:ascii="Arial" w:hAnsi="Arial" w:cs="Arial"/>
                              <w:i/>
                              <w:iCs/>
                              <w:sz w:val="16"/>
                              <w:szCs w:val="16"/>
                            </w:rPr>
                          </w:pPr>
                          <w:r w:rsidRPr="00F65002">
                            <w:rPr>
                              <w:rFonts w:ascii="Arial Black"/>
                              <w:i/>
                              <w:iCs/>
                              <w:sz w:val="16"/>
                              <w:szCs w:val="16"/>
                            </w:rPr>
                            <w:t xml:space="preserve">  </w:t>
                          </w:r>
                          <w:r w:rsidRPr="003E0DB9">
                            <w:rPr>
                              <w:rFonts w:ascii="Arial Black"/>
                              <w:sz w:val="16"/>
                              <w:szCs w:val="16"/>
                            </w:rPr>
                            <w:t xml:space="preserve"> </w:t>
                          </w:r>
                          <w:r w:rsidR="006F6D75" w:rsidRPr="003E0DB9">
                            <w:rPr>
                              <w:rFonts w:ascii="Arial Black"/>
                              <w:sz w:val="16"/>
                              <w:szCs w:val="16"/>
                            </w:rPr>
                            <w:t>J. Pharm. Res. Integr. Med. Sci.</w:t>
                          </w:r>
                          <w:r w:rsidR="00A6200A" w:rsidRPr="003E0DB9">
                            <w:rPr>
                              <w:rFonts w:ascii="Arial Black"/>
                              <w:sz w:val="16"/>
                              <w:szCs w:val="16"/>
                            </w:rPr>
                            <w:t xml:space="preserve">  </w:t>
                          </w:r>
                          <w:r w:rsidR="00A6200A" w:rsidRPr="00F65002">
                            <w:rPr>
                              <w:rFonts w:ascii="Arial Black"/>
                              <w:i/>
                              <w:iCs/>
                              <w:sz w:val="16"/>
                              <w:szCs w:val="16"/>
                            </w:rPr>
                            <w:t xml:space="preserve">   </w:t>
                          </w:r>
                          <w:r w:rsidR="00A6200A" w:rsidRPr="00E4358B">
                            <w:rPr>
                              <w:rFonts w:ascii="Arial Black" w:hAnsi="Arial Black"/>
                              <w:i/>
                              <w:iCs/>
                              <w:sz w:val="16"/>
                              <w:szCs w:val="16"/>
                            </w:rPr>
                            <w:t xml:space="preserve"> </w:t>
                          </w:r>
                          <w:r w:rsidR="00E4358B">
                            <w:rPr>
                              <w:rFonts w:ascii="Arial Black" w:hAnsi="Arial Black"/>
                              <w:i/>
                              <w:iCs/>
                              <w:sz w:val="16"/>
                              <w:szCs w:val="16"/>
                            </w:rPr>
                            <w:t xml:space="preserve">                                                                                                               </w:t>
                          </w:r>
                          <w:r w:rsidR="00B10736">
                            <w:rPr>
                              <w:rFonts w:ascii="Arial Black" w:hAnsi="Arial Black"/>
                              <w:i/>
                              <w:iCs/>
                              <w:sz w:val="16"/>
                              <w:szCs w:val="16"/>
                            </w:rPr>
                            <w:t xml:space="preserve"> </w:t>
                          </w:r>
                          <w:r w:rsidR="00421E07" w:rsidRPr="00421E07">
                            <w:rPr>
                              <w:b/>
                              <w:bCs/>
                              <w:i/>
                              <w:iCs/>
                              <w:szCs w:val="22"/>
                            </w:rPr>
                            <w:t>Al</w:t>
                          </w:r>
                          <w:r w:rsidR="00FA21B8">
                            <w:rPr>
                              <w:b/>
                              <w:bCs/>
                              <w:i/>
                              <w:iCs/>
                              <w:szCs w:val="22"/>
                            </w:rPr>
                            <w:t>habib</w:t>
                          </w:r>
                          <w:r w:rsidR="00E847D9">
                            <w:rPr>
                              <w:rFonts w:ascii="Arial Black" w:hAnsi="Arial Black" w:cs="Arial"/>
                              <w:i/>
                              <w:iCs/>
                              <w:sz w:val="16"/>
                              <w:szCs w:val="16"/>
                            </w:rPr>
                            <w:t xml:space="preserve"> </w:t>
                          </w:r>
                          <w:r w:rsidR="00F65002" w:rsidRPr="00E4358B">
                            <w:rPr>
                              <w:rFonts w:ascii="Arial Black" w:hAnsi="Arial Black" w:cs="Arial"/>
                              <w:i/>
                              <w:iCs/>
                              <w:sz w:val="16"/>
                              <w:szCs w:val="16"/>
                            </w:rPr>
                            <w:t>et</w:t>
                          </w:r>
                          <w:r w:rsidR="007A20A1">
                            <w:rPr>
                              <w:rFonts w:ascii="Arial Black" w:hAnsi="Arial Black" w:cs="Arial"/>
                              <w:i/>
                              <w:iCs/>
                              <w:sz w:val="16"/>
                              <w:szCs w:val="16"/>
                            </w:rPr>
                            <w:t xml:space="preserve"> </w:t>
                          </w:r>
                          <w:r w:rsidR="00F65002" w:rsidRPr="00E4358B">
                            <w:rPr>
                              <w:rFonts w:ascii="Arial Black" w:hAnsi="Arial Black" w:cs="Arial"/>
                              <w:i/>
                              <w:iCs/>
                              <w:sz w:val="16"/>
                              <w:szCs w:val="16"/>
                            </w:rPr>
                            <w:t xml:space="preserve">al.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DE87C" id="Text Box 6" o:spid="_x0000_s1030" type="#_x0000_t202" style="position:absolute;margin-left:0;margin-top:20.8pt;width:563pt;height:2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" fillcolor="#d4effc" stroked="f">
              <v:textbox inset="0,0,0,0">
                <w:txbxContent>
                  <w:p w14:paraId="4639627B" w14:textId="53C95125" w:rsidR="00F5260D" w:rsidRPr="00F65002" w:rsidRDefault="004C1269" w:rsidP="00415834">
                    <w:pPr>
                      <w:tabs>
                        <w:tab w:val="left" w:pos="8069"/>
                      </w:tabs>
                      <w:spacing w:line="298" w:lineRule="exact"/>
                      <w:rPr>
                        <w:rFonts w:ascii="Arial" w:hAnsi="Arial" w:cs="Arial"/>
                        <w:i/>
                        <w:iCs/>
                        <w:sz w:val="16"/>
                        <w:szCs w:val="16"/>
                      </w:rPr>
                    </w:pPr>
                    <w:r w:rsidRPr="00F65002">
                      <w:rPr>
                        <w:rFonts w:ascii="Arial Black"/>
                        <w:i/>
                        <w:iCs/>
                        <w:sz w:val="16"/>
                        <w:szCs w:val="16"/>
                      </w:rPr>
                      <w:t xml:space="preserve">  </w:t>
                    </w:r>
                    <w:r w:rsidRPr="003E0DB9">
                      <w:rPr>
                        <w:rFonts w:ascii="Arial Black"/>
                        <w:sz w:val="16"/>
                        <w:szCs w:val="16"/>
                      </w:rPr>
                      <w:t xml:space="preserve"> </w:t>
                    </w:r>
                    <w:r w:rsidR="006F6D75" w:rsidRPr="003E0DB9">
                      <w:rPr>
                        <w:rFonts w:ascii="Arial Black"/>
                        <w:sz w:val="16"/>
                        <w:szCs w:val="16"/>
                      </w:rPr>
                      <w:t>J. Pharm. Res. Integr. Med. Sci.</w:t>
                    </w:r>
                    <w:r w:rsidR="00A6200A" w:rsidRPr="003E0DB9">
                      <w:rPr>
                        <w:rFonts w:ascii="Arial Black"/>
                        <w:sz w:val="16"/>
                        <w:szCs w:val="16"/>
                      </w:rPr>
                      <w:t xml:space="preserve">  </w:t>
                    </w:r>
                    <w:r w:rsidR="00A6200A" w:rsidRPr="00F65002">
                      <w:rPr>
                        <w:rFonts w:ascii="Arial Black"/>
                        <w:i/>
                        <w:iCs/>
                        <w:sz w:val="16"/>
                        <w:szCs w:val="16"/>
                      </w:rPr>
                      <w:t xml:space="preserve">   </w:t>
                    </w:r>
                    <w:r w:rsidR="00A6200A" w:rsidRPr="00E4358B">
                      <w:rPr>
                        <w:rFonts w:ascii="Arial Black" w:hAnsi="Arial Black"/>
                        <w:i/>
                        <w:iCs/>
                        <w:sz w:val="16"/>
                        <w:szCs w:val="16"/>
                      </w:rPr>
                      <w:t xml:space="preserve"> </w:t>
                    </w:r>
                    <w:r w:rsidR="00E4358B">
                      <w:rPr>
                        <w:rFonts w:ascii="Arial Black" w:hAnsi="Arial Black"/>
                        <w:i/>
                        <w:iCs/>
                        <w:sz w:val="16"/>
                        <w:szCs w:val="16"/>
                      </w:rPr>
                      <w:t xml:space="preserve">                                                                                                               </w:t>
                    </w:r>
                    <w:r w:rsidR="00B10736">
                      <w:rPr>
                        <w:rFonts w:ascii="Arial Black" w:hAnsi="Arial Black"/>
                        <w:i/>
                        <w:iCs/>
                        <w:sz w:val="16"/>
                        <w:szCs w:val="16"/>
                      </w:rPr>
                      <w:t xml:space="preserve"> </w:t>
                    </w:r>
                    <w:r w:rsidR="00421E07" w:rsidRPr="00421E07">
                      <w:rPr>
                        <w:b/>
                        <w:bCs/>
                        <w:i/>
                        <w:iCs/>
                        <w:szCs w:val="22"/>
                      </w:rPr>
                      <w:t>Al</w:t>
                    </w:r>
                    <w:r w:rsidR="00FA21B8">
                      <w:rPr>
                        <w:b/>
                        <w:bCs/>
                        <w:i/>
                        <w:iCs/>
                        <w:szCs w:val="22"/>
                      </w:rPr>
                      <w:t>habib</w:t>
                    </w:r>
                    <w:r w:rsidR="00E847D9">
                      <w:rPr>
                        <w:rFonts w:ascii="Arial Black" w:hAnsi="Arial Black" w:cs="Arial"/>
                        <w:i/>
                        <w:iCs/>
                        <w:sz w:val="16"/>
                        <w:szCs w:val="16"/>
                      </w:rPr>
                      <w:t xml:space="preserve"> </w:t>
                    </w:r>
                    <w:r w:rsidR="00F65002" w:rsidRPr="00E4358B">
                      <w:rPr>
                        <w:rFonts w:ascii="Arial Black" w:hAnsi="Arial Black" w:cs="Arial"/>
                        <w:i/>
                        <w:iCs/>
                        <w:sz w:val="16"/>
                        <w:szCs w:val="16"/>
                      </w:rPr>
                      <w:t>et</w:t>
                    </w:r>
                    <w:r w:rsidR="007A20A1">
                      <w:rPr>
                        <w:rFonts w:ascii="Arial Black" w:hAnsi="Arial Black" w:cs="Arial"/>
                        <w:i/>
                        <w:iCs/>
                        <w:sz w:val="16"/>
                        <w:szCs w:val="16"/>
                      </w:rPr>
                      <w:t xml:space="preserve"> </w:t>
                    </w:r>
                    <w:r w:rsidR="00F65002" w:rsidRPr="00E4358B">
                      <w:rPr>
                        <w:rFonts w:ascii="Arial Black" w:hAnsi="Arial Black" w:cs="Arial"/>
                        <w:i/>
                        <w:iCs/>
                        <w:sz w:val="16"/>
                        <w:szCs w:val="16"/>
                      </w:rPr>
                      <w:t xml:space="preserve">al. </w:t>
                    </w:r>
                  </w:p>
                </w:txbxContent>
              </v:textbox>
              <w10:wrap anchorx="margin"/>
            </v:shape>
          </w:pict>
        </mc:Fallback>
      </mc:AlternateContent>
    </w:r>
  </w:p>
  <w:p w14:paraId="33E56185" w14:textId="7FB0F229" w:rsidR="00091BAC" w:rsidRDefault="00091BAC" w:rsidP="009E46B9">
    <w:pPr>
      <w:pStyle w:val="Header"/>
      <w:tabs>
        <w:tab w:val="left" w:pos="6370"/>
      </w:tabs>
      <w:rPr>
        <w:sz w:val="24"/>
        <w:szCs w:val="24"/>
      </w:rPr>
    </w:pPr>
  </w:p>
  <w:p w14:paraId="1B115223" w14:textId="47D08A99" w:rsidR="0003515C" w:rsidRPr="005C037C" w:rsidRDefault="0003515C" w:rsidP="009E46B9">
    <w:pPr>
      <w:pStyle w:val="Header"/>
      <w:tabs>
        <w:tab w:val="left" w:pos="6370"/>
      </w:tabs>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A3D7" w14:textId="29842AE0" w:rsidR="00E474FA" w:rsidRDefault="009C4BC8" w:rsidP="007108E0">
    <w:pPr>
      <w:pStyle w:val="Header"/>
      <w:tabs>
        <w:tab w:val="clear" w:pos="4513"/>
        <w:tab w:val="clear" w:pos="9026"/>
        <w:tab w:val="left" w:pos="7170"/>
      </w:tabs>
      <w:ind w:left="-1418" w:right="-1014"/>
    </w:pPr>
    <w:r>
      <w:rPr>
        <w:noProof/>
        <w:sz w:val="24"/>
        <w:szCs w:val="24"/>
      </w:rPr>
      <mc:AlternateContent>
        <mc:Choice Requires="wps">
          <w:drawing>
            <wp:anchor distT="0" distB="0" distL="114300" distR="114300" simplePos="0" relativeHeight="251665408" behindDoc="0" locked="0" layoutInCell="1" allowOverlap="1" wp14:anchorId="5901D932" wp14:editId="3D955F58">
              <wp:simplePos x="0" y="0"/>
              <wp:positionH relativeFrom="margin">
                <wp:posOffset>412750</wp:posOffset>
              </wp:positionH>
              <wp:positionV relativeFrom="paragraph">
                <wp:posOffset>48895</wp:posOffset>
              </wp:positionV>
              <wp:extent cx="4413250" cy="850900"/>
              <wp:effectExtent l="0" t="0" r="25400" b="25400"/>
              <wp:wrapNone/>
              <wp:docPr id="1327724116" name="Text Box 8"/>
              <wp:cNvGraphicFramePr/>
              <a:graphic xmlns:a="http://schemas.openxmlformats.org/drawingml/2006/main">
                <a:graphicData uri="http://schemas.microsoft.com/office/word/2010/wordprocessingShape">
                  <wps:wsp>
                    <wps:cNvSpPr txBox="1"/>
                    <wps:spPr>
                      <a:xfrm>
                        <a:off x="0" y="0"/>
                        <a:ext cx="4413250" cy="850900"/>
                      </a:xfrm>
                      <a:prstGeom prst="rect">
                        <a:avLst/>
                      </a:prstGeom>
                      <a:solidFill>
                        <a:schemeClr val="lt1"/>
                      </a:solidFill>
                      <a:ln w="6350">
                        <a:solidFill>
                          <a:schemeClr val="bg1"/>
                        </a:solidFill>
                      </a:ln>
                    </wps:spPr>
                    <wps:txbx>
                      <w:txbxContent>
                        <w:p w14:paraId="19C227C0" w14:textId="3561138F" w:rsidR="007067DA" w:rsidRPr="00F20653" w:rsidRDefault="007067DA" w:rsidP="007108E0">
                          <w:pPr>
                            <w:pStyle w:val="BodyText"/>
                            <w:spacing w:before="82"/>
                            <w:jc w:val="center"/>
                            <w:rPr>
                              <w:rStyle w:val="Strong"/>
                              <w:rFonts w:ascii="Noto Serif" w:hAnsi="Noto Serif" w:cs="Noto Serif"/>
                              <w:sz w:val="24"/>
                              <w:szCs w:val="24"/>
                              <w:shd w:val="clear" w:color="auto" w:fill="FFFFFF"/>
                            </w:rPr>
                          </w:pPr>
                          <w:r w:rsidRPr="0043040A">
                            <w:rPr>
                              <w:rStyle w:val="Strong"/>
                              <w:rFonts w:ascii="Noto Serif" w:hAnsi="Noto Serif" w:cs="Noto Serif"/>
                              <w:sz w:val="24"/>
                              <w:szCs w:val="24"/>
                              <w:highlight w:val="lightGray"/>
                              <w:shd w:val="clear" w:color="auto" w:fill="FFFFFF"/>
                            </w:rPr>
                            <w:t>Journal of Pharmaceutical Research and Integrated Medical Sciences (JPRIMS)</w:t>
                          </w:r>
                        </w:p>
                        <w:p w14:paraId="487BB070" w14:textId="3BC79CBB" w:rsidR="007067DA" w:rsidRPr="00E847D9" w:rsidRDefault="007067DA" w:rsidP="007067DA">
                          <w:pPr>
                            <w:pStyle w:val="BodyText"/>
                            <w:spacing w:before="82"/>
                            <w:jc w:val="center"/>
                            <w:rPr>
                              <w:rFonts w:asciiTheme="minorHAnsi" w:hAnsiTheme="minorHAnsi" w:cstheme="minorHAnsi"/>
                              <w:color w:val="323E04"/>
                              <w:sz w:val="24"/>
                              <w:szCs w:val="24"/>
                            </w:rPr>
                          </w:pPr>
                          <w:r w:rsidRPr="00E847D9">
                            <w:rPr>
                              <w:rFonts w:asciiTheme="minorHAnsi" w:hAnsiTheme="minorHAnsi" w:cstheme="minorHAnsi"/>
                              <w:color w:val="323E04"/>
                              <w:w w:val="95"/>
                              <w:sz w:val="24"/>
                              <w:szCs w:val="24"/>
                              <w:highlight w:val="lightGray"/>
                            </w:rPr>
                            <w:t>ISSN:</w:t>
                          </w:r>
                          <w:r w:rsidRPr="00E847D9">
                            <w:rPr>
                              <w:rFonts w:asciiTheme="minorHAnsi" w:hAnsiTheme="minorHAnsi" w:cstheme="minorHAnsi"/>
                              <w:color w:val="323E04"/>
                              <w:spacing w:val="-25"/>
                              <w:w w:val="95"/>
                              <w:sz w:val="24"/>
                              <w:szCs w:val="24"/>
                              <w:highlight w:val="lightGray"/>
                            </w:rPr>
                            <w:t xml:space="preserve"> </w:t>
                          </w:r>
                          <w:r w:rsidRPr="00E847D9">
                            <w:rPr>
                              <w:rFonts w:asciiTheme="minorHAnsi" w:hAnsiTheme="minorHAnsi" w:cstheme="minorHAnsi"/>
                              <w:color w:val="323E04"/>
                              <w:w w:val="95"/>
                              <w:sz w:val="24"/>
                              <w:szCs w:val="24"/>
                              <w:highlight w:val="lightGray"/>
                            </w:rPr>
                            <w:t xml:space="preserve">3049-1681, </w:t>
                          </w:r>
                          <w:r w:rsidRPr="00E847D9">
                            <w:rPr>
                              <w:rFonts w:asciiTheme="minorHAnsi" w:hAnsiTheme="minorHAnsi" w:cstheme="minorHAnsi"/>
                              <w:color w:val="323E04"/>
                              <w:spacing w:val="-24"/>
                              <w:w w:val="95"/>
                              <w:sz w:val="24"/>
                              <w:szCs w:val="24"/>
                              <w:highlight w:val="lightGray"/>
                            </w:rPr>
                            <w:t>Vol.</w:t>
                          </w:r>
                          <w:r w:rsidRPr="00E847D9">
                            <w:rPr>
                              <w:rFonts w:asciiTheme="minorHAnsi" w:hAnsiTheme="minorHAnsi" w:cstheme="minorHAnsi"/>
                              <w:color w:val="323E04"/>
                              <w:spacing w:val="-25"/>
                              <w:w w:val="95"/>
                              <w:sz w:val="24"/>
                              <w:szCs w:val="24"/>
                              <w:highlight w:val="lightGray"/>
                            </w:rPr>
                            <w:t xml:space="preserve"> </w:t>
                          </w:r>
                          <w:r w:rsidR="004F79CE" w:rsidRPr="00E847D9">
                            <w:rPr>
                              <w:rFonts w:asciiTheme="minorHAnsi" w:hAnsiTheme="minorHAnsi" w:cstheme="minorHAnsi"/>
                              <w:color w:val="323E04"/>
                              <w:w w:val="95"/>
                              <w:sz w:val="24"/>
                              <w:szCs w:val="24"/>
                              <w:highlight w:val="lightGray"/>
                            </w:rPr>
                            <w:t>02</w:t>
                          </w:r>
                          <w:r w:rsidRPr="00E847D9">
                            <w:rPr>
                              <w:rFonts w:asciiTheme="minorHAnsi" w:hAnsiTheme="minorHAnsi" w:cstheme="minorHAnsi"/>
                              <w:color w:val="323E04"/>
                              <w:w w:val="95"/>
                              <w:sz w:val="24"/>
                              <w:szCs w:val="24"/>
                              <w:highlight w:val="lightGray"/>
                            </w:rPr>
                            <w:t>,</w:t>
                          </w:r>
                          <w:r w:rsidRPr="00E847D9">
                            <w:rPr>
                              <w:rFonts w:asciiTheme="minorHAnsi" w:hAnsiTheme="minorHAnsi" w:cstheme="minorHAnsi"/>
                              <w:color w:val="323E04"/>
                              <w:spacing w:val="-24"/>
                              <w:w w:val="95"/>
                              <w:sz w:val="24"/>
                              <w:szCs w:val="24"/>
                              <w:highlight w:val="lightGray"/>
                            </w:rPr>
                            <w:t xml:space="preserve"> </w:t>
                          </w:r>
                          <w:r w:rsidR="00E847D9">
                            <w:rPr>
                              <w:rFonts w:asciiTheme="minorHAnsi" w:hAnsiTheme="minorHAnsi" w:cstheme="minorHAnsi"/>
                              <w:color w:val="323E04"/>
                              <w:spacing w:val="-24"/>
                              <w:w w:val="95"/>
                              <w:sz w:val="24"/>
                              <w:szCs w:val="24"/>
                              <w:highlight w:val="lightGray"/>
                            </w:rPr>
                            <w:t xml:space="preserve">Issue </w:t>
                          </w:r>
                          <w:r w:rsidR="00E847D9" w:rsidRPr="00E847D9">
                            <w:rPr>
                              <w:rFonts w:asciiTheme="minorHAnsi" w:hAnsiTheme="minorHAnsi" w:cstheme="minorHAnsi"/>
                              <w:color w:val="323E04"/>
                              <w:spacing w:val="-24"/>
                              <w:w w:val="95"/>
                              <w:sz w:val="24"/>
                              <w:szCs w:val="24"/>
                              <w:highlight w:val="lightGray"/>
                            </w:rPr>
                            <w:t>No.</w:t>
                          </w:r>
                          <w:r w:rsidRPr="00E847D9">
                            <w:rPr>
                              <w:rFonts w:asciiTheme="minorHAnsi" w:hAnsiTheme="minorHAnsi" w:cstheme="minorHAnsi"/>
                              <w:color w:val="323E04"/>
                              <w:spacing w:val="-23"/>
                              <w:w w:val="95"/>
                              <w:sz w:val="24"/>
                              <w:szCs w:val="24"/>
                              <w:highlight w:val="lightGray"/>
                            </w:rPr>
                            <w:t xml:space="preserve"> </w:t>
                          </w:r>
                          <w:r w:rsidR="004F79CE" w:rsidRPr="00E847D9">
                            <w:rPr>
                              <w:rFonts w:asciiTheme="minorHAnsi" w:hAnsiTheme="minorHAnsi" w:cstheme="minorHAnsi"/>
                              <w:color w:val="323E04"/>
                              <w:w w:val="95"/>
                              <w:sz w:val="24"/>
                              <w:szCs w:val="24"/>
                              <w:highlight w:val="lightGray"/>
                            </w:rPr>
                            <w:t>0</w:t>
                          </w:r>
                          <w:r w:rsidR="008728EF">
                            <w:rPr>
                              <w:rFonts w:asciiTheme="minorHAnsi" w:hAnsiTheme="minorHAnsi" w:cstheme="minorHAnsi"/>
                              <w:color w:val="323E04"/>
                              <w:w w:val="95"/>
                              <w:sz w:val="24"/>
                              <w:szCs w:val="24"/>
                              <w:highlight w:val="lightGray"/>
                            </w:rPr>
                            <w:t>9</w:t>
                          </w:r>
                          <w:r w:rsidRPr="00E847D9">
                            <w:rPr>
                              <w:rFonts w:asciiTheme="minorHAnsi" w:hAnsiTheme="minorHAnsi" w:cstheme="minorHAnsi"/>
                              <w:color w:val="323E04"/>
                              <w:w w:val="95"/>
                              <w:sz w:val="24"/>
                              <w:szCs w:val="24"/>
                              <w:highlight w:val="lightGray"/>
                            </w:rPr>
                            <w:t>,</w:t>
                          </w:r>
                          <w:r w:rsidRPr="00E847D9">
                            <w:rPr>
                              <w:rFonts w:asciiTheme="minorHAnsi" w:hAnsiTheme="minorHAnsi" w:cstheme="minorHAnsi"/>
                              <w:color w:val="323E04"/>
                              <w:spacing w:val="-25"/>
                              <w:w w:val="95"/>
                              <w:sz w:val="24"/>
                              <w:szCs w:val="24"/>
                              <w:highlight w:val="lightGray"/>
                            </w:rPr>
                            <w:t xml:space="preserve"> </w:t>
                          </w:r>
                          <w:r w:rsidRPr="00E847D9">
                            <w:rPr>
                              <w:rFonts w:asciiTheme="minorHAnsi" w:hAnsiTheme="minorHAnsi" w:cstheme="minorHAnsi"/>
                              <w:color w:val="323E04"/>
                              <w:w w:val="95"/>
                              <w:sz w:val="24"/>
                              <w:szCs w:val="24"/>
                              <w:highlight w:val="lightGray"/>
                            </w:rPr>
                            <w:t>2025</w:t>
                          </w:r>
                          <w:r w:rsidRPr="00E847D9">
                            <w:rPr>
                              <w:rFonts w:asciiTheme="minorHAnsi" w:hAnsiTheme="minorHAnsi" w:cstheme="minorHAnsi"/>
                              <w:color w:val="323E04"/>
                              <w:spacing w:val="-24"/>
                              <w:w w:val="95"/>
                              <w:sz w:val="24"/>
                              <w:szCs w:val="24"/>
                              <w:highlight w:val="lightGray"/>
                            </w:rPr>
                            <w:t xml:space="preserve"> </w:t>
                          </w:r>
                          <w:r w:rsidRPr="00E847D9">
                            <w:rPr>
                              <w:rFonts w:asciiTheme="minorHAnsi" w:hAnsiTheme="minorHAnsi" w:cstheme="minorHAnsi"/>
                              <w:color w:val="323E04"/>
                              <w:w w:val="95"/>
                              <w:sz w:val="24"/>
                              <w:szCs w:val="24"/>
                              <w:highlight w:val="lightGray"/>
                            </w:rPr>
                            <w:t xml:space="preserve">(pp. </w:t>
                          </w:r>
                          <w:r w:rsidR="001171BC">
                            <w:rPr>
                              <w:rFonts w:asciiTheme="minorHAnsi" w:hAnsiTheme="minorHAnsi" w:cstheme="minorHAnsi"/>
                              <w:color w:val="323E04"/>
                              <w:w w:val="95"/>
                              <w:sz w:val="24"/>
                              <w:szCs w:val="24"/>
                              <w:highlight w:val="lightGray"/>
                            </w:rPr>
                            <w:t>61</w:t>
                          </w:r>
                          <w:r w:rsidRPr="00E847D9">
                            <w:rPr>
                              <w:rFonts w:asciiTheme="minorHAnsi" w:hAnsiTheme="minorHAnsi" w:cstheme="minorHAnsi"/>
                              <w:color w:val="323E04"/>
                              <w:w w:val="95"/>
                              <w:sz w:val="24"/>
                              <w:szCs w:val="24"/>
                              <w:highlight w:val="lightGray"/>
                            </w:rPr>
                            <w:t>-</w:t>
                          </w:r>
                          <w:r w:rsidR="001171BC">
                            <w:rPr>
                              <w:rFonts w:asciiTheme="minorHAnsi" w:hAnsiTheme="minorHAnsi" w:cstheme="minorHAnsi"/>
                              <w:color w:val="323E04"/>
                              <w:w w:val="95"/>
                              <w:sz w:val="24"/>
                              <w:szCs w:val="24"/>
                              <w:highlight w:val="lightGray"/>
                            </w:rPr>
                            <w:t>7</w:t>
                          </w:r>
                          <w:r w:rsidR="003C773E">
                            <w:rPr>
                              <w:rFonts w:asciiTheme="minorHAnsi" w:hAnsiTheme="minorHAnsi" w:cstheme="minorHAnsi"/>
                              <w:color w:val="323E04"/>
                              <w:w w:val="95"/>
                              <w:sz w:val="24"/>
                              <w:szCs w:val="24"/>
                              <w:highlight w:val="lightGray"/>
                            </w:rPr>
                            <w:t>1</w:t>
                          </w:r>
                          <w:r w:rsidRPr="00E847D9">
                            <w:rPr>
                              <w:rFonts w:asciiTheme="minorHAnsi" w:hAnsiTheme="minorHAnsi" w:cstheme="minorHAnsi"/>
                              <w:color w:val="323E04"/>
                              <w:w w:val="95"/>
                              <w:sz w:val="24"/>
                              <w:szCs w:val="24"/>
                              <w:highlight w:val="lightGray"/>
                            </w:rPr>
                            <w:t>)</w:t>
                          </w:r>
                        </w:p>
                        <w:p w14:paraId="4C2CA1A9" w14:textId="77777777" w:rsidR="007067DA" w:rsidRDefault="007067DA" w:rsidP="007067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1D932" id="_x0000_t202" coordsize="21600,21600" o:spt="202" path="m,l,21600r21600,l21600,xe">
              <v:stroke joinstyle="miter"/>
              <v:path gradientshapeok="t" o:connecttype="rect"/>
            </v:shapetype>
            <v:shape id="_x0000_s1031" type="#_x0000_t202" style="position:absolute;left:0;text-align:left;margin-left:32.5pt;margin-top:3.85pt;width:347.5pt;height:6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" fillcolor="white [3201]" strokecolor="white [3212]" strokeweight=".5pt">
              <v:textbox>
                <w:txbxContent>
                  <w:p w14:paraId="19C227C0" w14:textId="3561138F" w:rsidR="007067DA" w:rsidRPr="00F20653" w:rsidRDefault="007067DA" w:rsidP="007108E0">
                    <w:pPr>
                      <w:pStyle w:val="BodyText"/>
                      <w:spacing w:before="82"/>
                      <w:jc w:val="center"/>
                      <w:rPr>
                        <w:rStyle w:val="Strong"/>
                        <w:rFonts w:ascii="Noto Serif" w:hAnsi="Noto Serif" w:cs="Noto Serif"/>
                        <w:sz w:val="24"/>
                        <w:szCs w:val="24"/>
                        <w:shd w:val="clear" w:color="auto" w:fill="FFFFFF"/>
                      </w:rPr>
                    </w:pPr>
                    <w:r w:rsidRPr="0043040A">
                      <w:rPr>
                        <w:rStyle w:val="Strong"/>
                        <w:rFonts w:ascii="Noto Serif" w:hAnsi="Noto Serif" w:cs="Noto Serif"/>
                        <w:sz w:val="24"/>
                        <w:szCs w:val="24"/>
                        <w:highlight w:val="lightGray"/>
                        <w:shd w:val="clear" w:color="auto" w:fill="FFFFFF"/>
                      </w:rPr>
                      <w:t>Journal of Pharmaceutical Research and Integrated Medical Sciences (JPRIMS)</w:t>
                    </w:r>
                  </w:p>
                  <w:p w14:paraId="487BB070" w14:textId="3BC79CBB" w:rsidR="007067DA" w:rsidRPr="00E847D9" w:rsidRDefault="007067DA" w:rsidP="007067DA">
                    <w:pPr>
                      <w:pStyle w:val="BodyText"/>
                      <w:spacing w:before="82"/>
                      <w:jc w:val="center"/>
                      <w:rPr>
                        <w:rFonts w:asciiTheme="minorHAnsi" w:hAnsiTheme="minorHAnsi" w:cstheme="minorHAnsi"/>
                        <w:color w:val="323E04"/>
                        <w:sz w:val="24"/>
                        <w:szCs w:val="24"/>
                      </w:rPr>
                    </w:pPr>
                    <w:r w:rsidRPr="00E847D9">
                      <w:rPr>
                        <w:rFonts w:asciiTheme="minorHAnsi" w:hAnsiTheme="minorHAnsi" w:cstheme="minorHAnsi"/>
                        <w:color w:val="323E04"/>
                        <w:w w:val="95"/>
                        <w:sz w:val="24"/>
                        <w:szCs w:val="24"/>
                        <w:highlight w:val="lightGray"/>
                      </w:rPr>
                      <w:t>ISSN:</w:t>
                    </w:r>
                    <w:r w:rsidRPr="00E847D9">
                      <w:rPr>
                        <w:rFonts w:asciiTheme="minorHAnsi" w:hAnsiTheme="minorHAnsi" w:cstheme="minorHAnsi"/>
                        <w:color w:val="323E04"/>
                        <w:spacing w:val="-25"/>
                        <w:w w:val="95"/>
                        <w:sz w:val="24"/>
                        <w:szCs w:val="24"/>
                        <w:highlight w:val="lightGray"/>
                      </w:rPr>
                      <w:t xml:space="preserve"> </w:t>
                    </w:r>
                    <w:r w:rsidRPr="00E847D9">
                      <w:rPr>
                        <w:rFonts w:asciiTheme="minorHAnsi" w:hAnsiTheme="minorHAnsi" w:cstheme="minorHAnsi"/>
                        <w:color w:val="323E04"/>
                        <w:w w:val="95"/>
                        <w:sz w:val="24"/>
                        <w:szCs w:val="24"/>
                        <w:highlight w:val="lightGray"/>
                      </w:rPr>
                      <w:t xml:space="preserve">3049-1681, </w:t>
                    </w:r>
                    <w:r w:rsidRPr="00E847D9">
                      <w:rPr>
                        <w:rFonts w:asciiTheme="minorHAnsi" w:hAnsiTheme="minorHAnsi" w:cstheme="minorHAnsi"/>
                        <w:color w:val="323E04"/>
                        <w:spacing w:val="-24"/>
                        <w:w w:val="95"/>
                        <w:sz w:val="24"/>
                        <w:szCs w:val="24"/>
                        <w:highlight w:val="lightGray"/>
                      </w:rPr>
                      <w:t>Vol.</w:t>
                    </w:r>
                    <w:r w:rsidRPr="00E847D9">
                      <w:rPr>
                        <w:rFonts w:asciiTheme="minorHAnsi" w:hAnsiTheme="minorHAnsi" w:cstheme="minorHAnsi"/>
                        <w:color w:val="323E04"/>
                        <w:spacing w:val="-25"/>
                        <w:w w:val="95"/>
                        <w:sz w:val="24"/>
                        <w:szCs w:val="24"/>
                        <w:highlight w:val="lightGray"/>
                      </w:rPr>
                      <w:t xml:space="preserve"> </w:t>
                    </w:r>
                    <w:r w:rsidR="004F79CE" w:rsidRPr="00E847D9">
                      <w:rPr>
                        <w:rFonts w:asciiTheme="minorHAnsi" w:hAnsiTheme="minorHAnsi" w:cstheme="minorHAnsi"/>
                        <w:color w:val="323E04"/>
                        <w:w w:val="95"/>
                        <w:sz w:val="24"/>
                        <w:szCs w:val="24"/>
                        <w:highlight w:val="lightGray"/>
                      </w:rPr>
                      <w:t>02</w:t>
                    </w:r>
                    <w:r w:rsidRPr="00E847D9">
                      <w:rPr>
                        <w:rFonts w:asciiTheme="minorHAnsi" w:hAnsiTheme="minorHAnsi" w:cstheme="minorHAnsi"/>
                        <w:color w:val="323E04"/>
                        <w:w w:val="95"/>
                        <w:sz w:val="24"/>
                        <w:szCs w:val="24"/>
                        <w:highlight w:val="lightGray"/>
                      </w:rPr>
                      <w:t>,</w:t>
                    </w:r>
                    <w:r w:rsidRPr="00E847D9">
                      <w:rPr>
                        <w:rFonts w:asciiTheme="minorHAnsi" w:hAnsiTheme="minorHAnsi" w:cstheme="minorHAnsi"/>
                        <w:color w:val="323E04"/>
                        <w:spacing w:val="-24"/>
                        <w:w w:val="95"/>
                        <w:sz w:val="24"/>
                        <w:szCs w:val="24"/>
                        <w:highlight w:val="lightGray"/>
                      </w:rPr>
                      <w:t xml:space="preserve"> </w:t>
                    </w:r>
                    <w:r w:rsidR="00E847D9">
                      <w:rPr>
                        <w:rFonts w:asciiTheme="minorHAnsi" w:hAnsiTheme="minorHAnsi" w:cstheme="minorHAnsi"/>
                        <w:color w:val="323E04"/>
                        <w:spacing w:val="-24"/>
                        <w:w w:val="95"/>
                        <w:sz w:val="24"/>
                        <w:szCs w:val="24"/>
                        <w:highlight w:val="lightGray"/>
                      </w:rPr>
                      <w:t xml:space="preserve">Issue </w:t>
                    </w:r>
                    <w:r w:rsidR="00E847D9" w:rsidRPr="00E847D9">
                      <w:rPr>
                        <w:rFonts w:asciiTheme="minorHAnsi" w:hAnsiTheme="minorHAnsi" w:cstheme="minorHAnsi"/>
                        <w:color w:val="323E04"/>
                        <w:spacing w:val="-24"/>
                        <w:w w:val="95"/>
                        <w:sz w:val="24"/>
                        <w:szCs w:val="24"/>
                        <w:highlight w:val="lightGray"/>
                      </w:rPr>
                      <w:t>No.</w:t>
                    </w:r>
                    <w:r w:rsidRPr="00E847D9">
                      <w:rPr>
                        <w:rFonts w:asciiTheme="minorHAnsi" w:hAnsiTheme="minorHAnsi" w:cstheme="minorHAnsi"/>
                        <w:color w:val="323E04"/>
                        <w:spacing w:val="-23"/>
                        <w:w w:val="95"/>
                        <w:sz w:val="24"/>
                        <w:szCs w:val="24"/>
                        <w:highlight w:val="lightGray"/>
                      </w:rPr>
                      <w:t xml:space="preserve"> </w:t>
                    </w:r>
                    <w:r w:rsidR="004F79CE" w:rsidRPr="00E847D9">
                      <w:rPr>
                        <w:rFonts w:asciiTheme="minorHAnsi" w:hAnsiTheme="minorHAnsi" w:cstheme="minorHAnsi"/>
                        <w:color w:val="323E04"/>
                        <w:w w:val="95"/>
                        <w:sz w:val="24"/>
                        <w:szCs w:val="24"/>
                        <w:highlight w:val="lightGray"/>
                      </w:rPr>
                      <w:t>0</w:t>
                    </w:r>
                    <w:r w:rsidR="008728EF">
                      <w:rPr>
                        <w:rFonts w:asciiTheme="minorHAnsi" w:hAnsiTheme="minorHAnsi" w:cstheme="minorHAnsi"/>
                        <w:color w:val="323E04"/>
                        <w:w w:val="95"/>
                        <w:sz w:val="24"/>
                        <w:szCs w:val="24"/>
                        <w:highlight w:val="lightGray"/>
                      </w:rPr>
                      <w:t>9</w:t>
                    </w:r>
                    <w:r w:rsidRPr="00E847D9">
                      <w:rPr>
                        <w:rFonts w:asciiTheme="minorHAnsi" w:hAnsiTheme="minorHAnsi" w:cstheme="minorHAnsi"/>
                        <w:color w:val="323E04"/>
                        <w:w w:val="95"/>
                        <w:sz w:val="24"/>
                        <w:szCs w:val="24"/>
                        <w:highlight w:val="lightGray"/>
                      </w:rPr>
                      <w:t>,</w:t>
                    </w:r>
                    <w:r w:rsidRPr="00E847D9">
                      <w:rPr>
                        <w:rFonts w:asciiTheme="minorHAnsi" w:hAnsiTheme="minorHAnsi" w:cstheme="minorHAnsi"/>
                        <w:color w:val="323E04"/>
                        <w:spacing w:val="-25"/>
                        <w:w w:val="95"/>
                        <w:sz w:val="24"/>
                        <w:szCs w:val="24"/>
                        <w:highlight w:val="lightGray"/>
                      </w:rPr>
                      <w:t xml:space="preserve"> </w:t>
                    </w:r>
                    <w:r w:rsidRPr="00E847D9">
                      <w:rPr>
                        <w:rFonts w:asciiTheme="minorHAnsi" w:hAnsiTheme="minorHAnsi" w:cstheme="minorHAnsi"/>
                        <w:color w:val="323E04"/>
                        <w:w w:val="95"/>
                        <w:sz w:val="24"/>
                        <w:szCs w:val="24"/>
                        <w:highlight w:val="lightGray"/>
                      </w:rPr>
                      <w:t>2025</w:t>
                    </w:r>
                    <w:r w:rsidRPr="00E847D9">
                      <w:rPr>
                        <w:rFonts w:asciiTheme="minorHAnsi" w:hAnsiTheme="minorHAnsi" w:cstheme="minorHAnsi"/>
                        <w:color w:val="323E04"/>
                        <w:spacing w:val="-24"/>
                        <w:w w:val="95"/>
                        <w:sz w:val="24"/>
                        <w:szCs w:val="24"/>
                        <w:highlight w:val="lightGray"/>
                      </w:rPr>
                      <w:t xml:space="preserve"> </w:t>
                    </w:r>
                    <w:r w:rsidRPr="00E847D9">
                      <w:rPr>
                        <w:rFonts w:asciiTheme="minorHAnsi" w:hAnsiTheme="minorHAnsi" w:cstheme="minorHAnsi"/>
                        <w:color w:val="323E04"/>
                        <w:w w:val="95"/>
                        <w:sz w:val="24"/>
                        <w:szCs w:val="24"/>
                        <w:highlight w:val="lightGray"/>
                      </w:rPr>
                      <w:t xml:space="preserve">(pp. </w:t>
                    </w:r>
                    <w:r w:rsidR="001171BC">
                      <w:rPr>
                        <w:rFonts w:asciiTheme="minorHAnsi" w:hAnsiTheme="minorHAnsi" w:cstheme="minorHAnsi"/>
                        <w:color w:val="323E04"/>
                        <w:w w:val="95"/>
                        <w:sz w:val="24"/>
                        <w:szCs w:val="24"/>
                        <w:highlight w:val="lightGray"/>
                      </w:rPr>
                      <w:t>61</w:t>
                    </w:r>
                    <w:r w:rsidRPr="00E847D9">
                      <w:rPr>
                        <w:rFonts w:asciiTheme="minorHAnsi" w:hAnsiTheme="minorHAnsi" w:cstheme="minorHAnsi"/>
                        <w:color w:val="323E04"/>
                        <w:w w:val="95"/>
                        <w:sz w:val="24"/>
                        <w:szCs w:val="24"/>
                        <w:highlight w:val="lightGray"/>
                      </w:rPr>
                      <w:t>-</w:t>
                    </w:r>
                    <w:r w:rsidR="001171BC">
                      <w:rPr>
                        <w:rFonts w:asciiTheme="minorHAnsi" w:hAnsiTheme="minorHAnsi" w:cstheme="minorHAnsi"/>
                        <w:color w:val="323E04"/>
                        <w:w w:val="95"/>
                        <w:sz w:val="24"/>
                        <w:szCs w:val="24"/>
                        <w:highlight w:val="lightGray"/>
                      </w:rPr>
                      <w:t>7</w:t>
                    </w:r>
                    <w:r w:rsidR="003C773E">
                      <w:rPr>
                        <w:rFonts w:asciiTheme="minorHAnsi" w:hAnsiTheme="minorHAnsi" w:cstheme="minorHAnsi"/>
                        <w:color w:val="323E04"/>
                        <w:w w:val="95"/>
                        <w:sz w:val="24"/>
                        <w:szCs w:val="24"/>
                        <w:highlight w:val="lightGray"/>
                      </w:rPr>
                      <w:t>1</w:t>
                    </w:r>
                    <w:r w:rsidRPr="00E847D9">
                      <w:rPr>
                        <w:rFonts w:asciiTheme="minorHAnsi" w:hAnsiTheme="minorHAnsi" w:cstheme="minorHAnsi"/>
                        <w:color w:val="323E04"/>
                        <w:w w:val="95"/>
                        <w:sz w:val="24"/>
                        <w:szCs w:val="24"/>
                        <w:highlight w:val="lightGray"/>
                      </w:rPr>
                      <w:t>)</w:t>
                    </w:r>
                  </w:p>
                  <w:p w14:paraId="4C2CA1A9" w14:textId="77777777" w:rsidR="007067DA" w:rsidRDefault="007067DA" w:rsidP="007067DA"/>
                </w:txbxContent>
              </v:textbox>
              <w10:wrap anchorx="margin"/>
            </v:shape>
          </w:pict>
        </mc:Fallback>
      </mc:AlternateContent>
    </w:r>
    <w:r>
      <w:rPr>
        <w:rFonts w:ascii="Noto Serif" w:hAnsi="Noto Serif" w:cs="Noto Serif"/>
        <w:b/>
        <w:bCs/>
        <w:noProof/>
        <w:sz w:val="24"/>
        <w:szCs w:val="24"/>
        <w:shd w:val="clear" w:color="auto" w:fill="FFFFFF"/>
      </w:rPr>
      <w:drawing>
        <wp:inline distT="0" distB="0" distL="0" distR="0" wp14:anchorId="39240A31" wp14:editId="7914756A">
          <wp:extent cx="1422400" cy="1028700"/>
          <wp:effectExtent l="0" t="0" r="6350" b="0"/>
          <wp:docPr id="11993235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25636" name="Picture 2084425636"/>
                  <pic:cNvPicPr/>
                </pic:nvPicPr>
                <pic:blipFill>
                  <a:blip r:embed="rId1">
                    <a:extLst>
                      <a:ext uri="{28A0092B-C50C-407E-A947-70E740481C1C}">
                        <a14:useLocalDpi xmlns:a14="http://schemas.microsoft.com/office/drawing/2010/main" val="0"/>
                      </a:ext>
                    </a:extLst>
                  </a:blip>
                  <a:stretch>
                    <a:fillRect/>
                  </a:stretch>
                </pic:blipFill>
                <pic:spPr>
                  <a:xfrm>
                    <a:off x="0" y="0"/>
                    <a:ext cx="1422400" cy="1028700"/>
                  </a:xfrm>
                  <a:prstGeom prst="rect">
                    <a:avLst/>
                  </a:prstGeom>
                </pic:spPr>
              </pic:pic>
            </a:graphicData>
          </a:graphic>
        </wp:inline>
      </w:drawing>
    </w:r>
    <w:r w:rsidR="00A037DF">
      <w:t xml:space="preserve">   </w:t>
    </w:r>
    <w:r w:rsidR="004609AE">
      <w:tab/>
    </w:r>
    <w:r w:rsidR="004609AE">
      <w:rPr>
        <w:noProof/>
        <w:sz w:val="24"/>
        <w:szCs w:val="24"/>
      </w:rPr>
      <w:drawing>
        <wp:inline distT="0" distB="0" distL="0" distR="0" wp14:anchorId="3AEA27FC" wp14:editId="0029F46B">
          <wp:extent cx="1797050" cy="984250"/>
          <wp:effectExtent l="0" t="0" r="0" b="6350"/>
          <wp:docPr id="2810968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06557" name="Picture 1431706557"/>
                  <pic:cNvPicPr/>
                </pic:nvPicPr>
                <pic:blipFill>
                  <a:blip r:embed="rId2">
                    <a:extLst>
                      <a:ext uri="{28A0092B-C50C-407E-A947-70E740481C1C}">
                        <a14:useLocalDpi xmlns:a14="http://schemas.microsoft.com/office/drawing/2010/main" val="0"/>
                      </a:ext>
                    </a:extLst>
                  </a:blip>
                  <a:stretch>
                    <a:fillRect/>
                  </a:stretch>
                </pic:blipFill>
                <pic:spPr>
                  <a:xfrm>
                    <a:off x="0" y="0"/>
                    <a:ext cx="1797050" cy="984250"/>
                  </a:xfrm>
                  <a:prstGeom prst="rect">
                    <a:avLst/>
                  </a:prstGeom>
                </pic:spPr>
              </pic:pic>
            </a:graphicData>
          </a:graphic>
        </wp:inline>
      </w:drawing>
    </w:r>
  </w:p>
  <w:p w14:paraId="79CBA130" w14:textId="723D9C20" w:rsidR="00E474FA" w:rsidRDefault="007067DA">
    <w:pPr>
      <w:pStyle w:val="Header"/>
    </w:pPr>
    <w:r>
      <w:rPr>
        <w:noProof/>
        <w:sz w:val="24"/>
        <w:szCs w:val="24"/>
      </w:rPr>
      <mc:AlternateContent>
        <mc:Choice Requires="wps">
          <w:drawing>
            <wp:anchor distT="0" distB="0" distL="114300" distR="114300" simplePos="0" relativeHeight="251663360" behindDoc="1" locked="0" layoutInCell="1" allowOverlap="1" wp14:anchorId="4C91BE8A" wp14:editId="409B6E16">
              <wp:simplePos x="0" y="0"/>
              <wp:positionH relativeFrom="margin">
                <wp:align>center</wp:align>
              </wp:positionH>
              <wp:positionV relativeFrom="paragraph">
                <wp:posOffset>124460</wp:posOffset>
              </wp:positionV>
              <wp:extent cx="7150100" cy="260350"/>
              <wp:effectExtent l="0" t="0" r="0" b="6350"/>
              <wp:wrapNone/>
              <wp:docPr id="1878355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0" cy="260350"/>
                      </a:xfrm>
                      <a:prstGeom prst="rect">
                        <a:avLst/>
                      </a:prstGeom>
                      <a:solidFill>
                        <a:srgbClr val="D4EFF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DDEDCA" w14:textId="288264DD" w:rsidR="00E474FA" w:rsidRPr="00092251" w:rsidRDefault="0006219A" w:rsidP="00E474FA">
                          <w:pPr>
                            <w:tabs>
                              <w:tab w:val="left" w:pos="8069"/>
                            </w:tabs>
                            <w:spacing w:line="298" w:lineRule="exact"/>
                            <w:ind w:left="59"/>
                            <w:rPr>
                              <w:rFonts w:ascii="Arial Black"/>
                              <w:sz w:val="16"/>
                              <w:szCs w:val="16"/>
                            </w:rPr>
                          </w:pPr>
                          <w:r>
                            <w:rPr>
                              <w:rFonts w:ascii="Arial Black"/>
                              <w:color w:val="231F20"/>
                              <w:spacing w:val="4"/>
                              <w:sz w:val="16"/>
                              <w:szCs w:val="16"/>
                            </w:rPr>
                            <w:t>ORIGINAL</w:t>
                          </w:r>
                          <w:r w:rsidR="00E474FA" w:rsidRPr="00092251">
                            <w:rPr>
                              <w:rFonts w:ascii="Arial Black"/>
                              <w:color w:val="231F20"/>
                              <w:spacing w:val="10"/>
                              <w:sz w:val="16"/>
                              <w:szCs w:val="16"/>
                            </w:rPr>
                            <w:t xml:space="preserve"> </w:t>
                          </w:r>
                          <w:r w:rsidR="00E474FA" w:rsidRPr="00092251">
                            <w:rPr>
                              <w:rFonts w:ascii="Arial Black"/>
                              <w:color w:val="231F20"/>
                              <w:spacing w:val="4"/>
                              <w:sz w:val="16"/>
                              <w:szCs w:val="16"/>
                            </w:rPr>
                            <w:t xml:space="preserve">ARTICLE                      </w:t>
                          </w:r>
                          <w:r w:rsidR="00E474FA">
                            <w:rPr>
                              <w:rFonts w:ascii="Arial Black"/>
                              <w:color w:val="231F20"/>
                              <w:spacing w:val="4"/>
                              <w:sz w:val="16"/>
                              <w:szCs w:val="16"/>
                            </w:rPr>
                            <w:t xml:space="preserve">                                                   </w:t>
                          </w:r>
                          <w:r w:rsidR="00E474FA" w:rsidRPr="00092251">
                            <w:rPr>
                              <w:rFonts w:ascii="Arial Black"/>
                              <w:color w:val="231F20"/>
                              <w:spacing w:val="4"/>
                              <w:sz w:val="16"/>
                              <w:szCs w:val="16"/>
                            </w:rPr>
                            <w:t xml:space="preserve"> </w:t>
                          </w:r>
                          <w:r w:rsidR="00E474FA">
                            <w:rPr>
                              <w:rFonts w:ascii="Arial Black"/>
                              <w:color w:val="231F20"/>
                              <w:spacing w:val="4"/>
                              <w:sz w:val="16"/>
                              <w:szCs w:val="16"/>
                            </w:rPr>
                            <w:t xml:space="preserve">      </w:t>
                          </w:r>
                          <w:r w:rsidR="00E474FA" w:rsidRPr="00092251">
                            <w:rPr>
                              <w:rFonts w:ascii="Arial Black"/>
                              <w:color w:val="231F20"/>
                              <w:spacing w:val="4"/>
                              <w:sz w:val="16"/>
                              <w:szCs w:val="16"/>
                            </w:rPr>
                            <w:t xml:space="preserve">  </w:t>
                          </w:r>
                          <w:r w:rsidR="00E474FA">
                            <w:rPr>
                              <w:rFonts w:ascii="Arial Black"/>
                              <w:color w:val="231F20"/>
                              <w:spacing w:val="4"/>
                              <w:sz w:val="16"/>
                              <w:szCs w:val="16"/>
                            </w:rPr>
                            <w:t xml:space="preserve">    </w:t>
                          </w:r>
                          <w:r w:rsidR="00E474FA" w:rsidRPr="00092251">
                            <w:rPr>
                              <w:rFonts w:ascii="Arial Black"/>
                              <w:color w:val="231F20"/>
                              <w:spacing w:val="4"/>
                              <w:sz w:val="16"/>
                              <w:szCs w:val="16"/>
                            </w:rPr>
                            <w:t>https://aktpublication.com/index.php/jprims/index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1BE8A" id="_x0000_s1032" type="#_x0000_t202" style="position:absolute;margin-left:0;margin-top:9.8pt;width:563pt;height:20.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" fillcolor="#d4effc" stroked="f">
              <v:textbox inset="0,0,0,0">
                <w:txbxContent>
                  <w:p w14:paraId="26DDEDCA" w14:textId="288264DD" w:rsidR="00E474FA" w:rsidRPr="00092251" w:rsidRDefault="0006219A" w:rsidP="00E474FA">
                    <w:pPr>
                      <w:tabs>
                        <w:tab w:val="left" w:pos="8069"/>
                      </w:tabs>
                      <w:spacing w:line="298" w:lineRule="exact"/>
                      <w:ind w:left="59"/>
                      <w:rPr>
                        <w:rFonts w:ascii="Arial Black"/>
                        <w:sz w:val="16"/>
                        <w:szCs w:val="16"/>
                      </w:rPr>
                    </w:pPr>
                    <w:r>
                      <w:rPr>
                        <w:rFonts w:ascii="Arial Black"/>
                        <w:color w:val="231F20"/>
                        <w:spacing w:val="4"/>
                        <w:sz w:val="16"/>
                        <w:szCs w:val="16"/>
                      </w:rPr>
                      <w:t>ORIGINAL</w:t>
                    </w:r>
                    <w:r w:rsidR="00E474FA" w:rsidRPr="00092251">
                      <w:rPr>
                        <w:rFonts w:ascii="Arial Black"/>
                        <w:color w:val="231F20"/>
                        <w:spacing w:val="10"/>
                        <w:sz w:val="16"/>
                        <w:szCs w:val="16"/>
                      </w:rPr>
                      <w:t xml:space="preserve"> </w:t>
                    </w:r>
                    <w:r w:rsidR="00E474FA" w:rsidRPr="00092251">
                      <w:rPr>
                        <w:rFonts w:ascii="Arial Black"/>
                        <w:color w:val="231F20"/>
                        <w:spacing w:val="4"/>
                        <w:sz w:val="16"/>
                        <w:szCs w:val="16"/>
                      </w:rPr>
                      <w:t xml:space="preserve">ARTICLE                      </w:t>
                    </w:r>
                    <w:r w:rsidR="00E474FA">
                      <w:rPr>
                        <w:rFonts w:ascii="Arial Black"/>
                        <w:color w:val="231F20"/>
                        <w:spacing w:val="4"/>
                        <w:sz w:val="16"/>
                        <w:szCs w:val="16"/>
                      </w:rPr>
                      <w:t xml:space="preserve">                                                   </w:t>
                    </w:r>
                    <w:r w:rsidR="00E474FA" w:rsidRPr="00092251">
                      <w:rPr>
                        <w:rFonts w:ascii="Arial Black"/>
                        <w:color w:val="231F20"/>
                        <w:spacing w:val="4"/>
                        <w:sz w:val="16"/>
                        <w:szCs w:val="16"/>
                      </w:rPr>
                      <w:t xml:space="preserve"> </w:t>
                    </w:r>
                    <w:r w:rsidR="00E474FA">
                      <w:rPr>
                        <w:rFonts w:ascii="Arial Black"/>
                        <w:color w:val="231F20"/>
                        <w:spacing w:val="4"/>
                        <w:sz w:val="16"/>
                        <w:szCs w:val="16"/>
                      </w:rPr>
                      <w:t xml:space="preserve">      </w:t>
                    </w:r>
                    <w:r w:rsidR="00E474FA" w:rsidRPr="00092251">
                      <w:rPr>
                        <w:rFonts w:ascii="Arial Black"/>
                        <w:color w:val="231F20"/>
                        <w:spacing w:val="4"/>
                        <w:sz w:val="16"/>
                        <w:szCs w:val="16"/>
                      </w:rPr>
                      <w:t xml:space="preserve">  </w:t>
                    </w:r>
                    <w:r w:rsidR="00E474FA">
                      <w:rPr>
                        <w:rFonts w:ascii="Arial Black"/>
                        <w:color w:val="231F20"/>
                        <w:spacing w:val="4"/>
                        <w:sz w:val="16"/>
                        <w:szCs w:val="16"/>
                      </w:rPr>
                      <w:t xml:space="preserve">    </w:t>
                    </w:r>
                    <w:r w:rsidR="00E474FA" w:rsidRPr="00092251">
                      <w:rPr>
                        <w:rFonts w:ascii="Arial Black"/>
                        <w:color w:val="231F20"/>
                        <w:spacing w:val="4"/>
                        <w:sz w:val="16"/>
                        <w:szCs w:val="16"/>
                      </w:rPr>
                      <w:t>https://aktpublication.com/index.php/jprims/index</w:t>
                    </w:r>
                  </w:p>
                </w:txbxContent>
              </v:textbox>
              <w10:wrap anchorx="margin"/>
            </v:shape>
          </w:pict>
        </mc:Fallback>
      </mc:AlternateContent>
    </w:r>
  </w:p>
  <w:p w14:paraId="057A0706" w14:textId="048E9CA5" w:rsidR="00E474FA" w:rsidRDefault="00E474FA">
    <w:pPr>
      <w:pStyle w:val="Header"/>
    </w:pPr>
  </w:p>
  <w:p w14:paraId="264A3D29" w14:textId="67FD0F37" w:rsidR="00F913AB" w:rsidRDefault="00F91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visibility:visible;mso-wrap-style:square" o:bullet="t">
        <v:imagedata r:id="rId1" o:title=""/>
      </v:shape>
    </w:pict>
  </w:numPicBullet>
  <w:abstractNum w:abstractNumId="0" w15:restartNumberingAfterBreak="0">
    <w:nsid w:val="BE17A26C"/>
    <w:multiLevelType w:val="singleLevel"/>
    <w:tmpl w:val="BE17A26C"/>
    <w:lvl w:ilvl="0">
      <w:start w:val="1"/>
      <w:numFmt w:val="decimal"/>
      <w:suff w:val="space"/>
      <w:lvlText w:val="%1."/>
      <w:lvlJc w:val="left"/>
    </w:lvl>
  </w:abstractNum>
  <w:abstractNum w:abstractNumId="1" w15:restartNumberingAfterBreak="0">
    <w:nsid w:val="E8F2EF0C"/>
    <w:multiLevelType w:val="singleLevel"/>
    <w:tmpl w:val="E8F2EF0C"/>
    <w:lvl w:ilvl="0">
      <w:start w:val="1"/>
      <w:numFmt w:val="decimal"/>
      <w:lvlText w:val="%1."/>
      <w:lvlJc w:val="left"/>
      <w:pPr>
        <w:tabs>
          <w:tab w:val="left" w:pos="425"/>
        </w:tabs>
        <w:ind w:left="425" w:hanging="425"/>
      </w:pPr>
      <w:rPr>
        <w:rFonts w:hint="default"/>
      </w:rPr>
    </w:lvl>
  </w:abstractNum>
  <w:abstractNum w:abstractNumId="2" w15:restartNumberingAfterBreak="0">
    <w:nsid w:val="009A415E"/>
    <w:multiLevelType w:val="multilevel"/>
    <w:tmpl w:val="D3D29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905E8"/>
    <w:multiLevelType w:val="hybridMultilevel"/>
    <w:tmpl w:val="893A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CC1377"/>
    <w:multiLevelType w:val="hybridMultilevel"/>
    <w:tmpl w:val="00AC4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661772"/>
    <w:multiLevelType w:val="multilevel"/>
    <w:tmpl w:val="979A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6C4A36"/>
    <w:multiLevelType w:val="multilevel"/>
    <w:tmpl w:val="D0D883CC"/>
    <w:lvl w:ilvl="0">
      <w:start w:val="1"/>
      <w:numFmt w:val="decimal"/>
      <w:lvlText w:val="%1."/>
      <w:lvlJc w:val="left"/>
      <w:pPr>
        <w:ind w:left="360" w:hanging="360"/>
      </w:pPr>
    </w:lvl>
    <w:lvl w:ilvl="1">
      <w:start w:val="1"/>
      <w:numFmt w:val="decimal"/>
      <w:isLgl/>
      <w:lvlText w:val="%1.%2."/>
      <w:lvlJc w:val="left"/>
      <w:pPr>
        <w:ind w:left="420" w:hanging="4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522089E"/>
    <w:multiLevelType w:val="multilevel"/>
    <w:tmpl w:val="F53E117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4D49"/>
    <w:multiLevelType w:val="multilevel"/>
    <w:tmpl w:val="66F8B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730802"/>
    <w:multiLevelType w:val="multilevel"/>
    <w:tmpl w:val="ACD6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C26373"/>
    <w:multiLevelType w:val="multilevel"/>
    <w:tmpl w:val="5DC25688"/>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C443460"/>
    <w:multiLevelType w:val="hybridMultilevel"/>
    <w:tmpl w:val="F014D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460EC8"/>
    <w:multiLevelType w:val="hybridMultilevel"/>
    <w:tmpl w:val="6AB03B8A"/>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306CF7"/>
    <w:multiLevelType w:val="hybridMultilevel"/>
    <w:tmpl w:val="09DA4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FF025B"/>
    <w:multiLevelType w:val="hybridMultilevel"/>
    <w:tmpl w:val="1892E8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72456A"/>
    <w:multiLevelType w:val="hybridMultilevel"/>
    <w:tmpl w:val="5F8AA9D8"/>
    <w:lvl w:ilvl="0" w:tplc="43A6A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3203EE"/>
    <w:multiLevelType w:val="hybridMultilevel"/>
    <w:tmpl w:val="D3B690F4"/>
    <w:lvl w:ilvl="0" w:tplc="79C4D59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1330149"/>
    <w:multiLevelType w:val="multilevel"/>
    <w:tmpl w:val="E382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355327"/>
    <w:multiLevelType w:val="multilevel"/>
    <w:tmpl w:val="11927394"/>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5D2886"/>
    <w:multiLevelType w:val="multilevel"/>
    <w:tmpl w:val="28A48168"/>
    <w:lvl w:ilvl="0">
      <w:start w:val="1"/>
      <w:numFmt w:val="decimal"/>
      <w:lvlText w:val="%1."/>
      <w:lvlJc w:val="left"/>
      <w:pPr>
        <w:ind w:left="360" w:hanging="360"/>
      </w:p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14135FB6"/>
    <w:multiLevelType w:val="multilevel"/>
    <w:tmpl w:val="1EEE1218"/>
    <w:lvl w:ilvl="0">
      <w:start w:val="1"/>
      <w:numFmt w:val="upperRoman"/>
      <w:lvlText w:val="%1."/>
      <w:lvlJc w:val="righ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144432EA"/>
    <w:multiLevelType w:val="hybridMultilevel"/>
    <w:tmpl w:val="9286BFCA"/>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606212"/>
    <w:multiLevelType w:val="multilevel"/>
    <w:tmpl w:val="A6B61E72"/>
    <w:lvl w:ilvl="0">
      <w:start w:val="1"/>
      <w:numFmt w:val="decimal"/>
      <w:lvlText w:val="%1."/>
      <w:lvlJc w:val="left"/>
      <w:pPr>
        <w:ind w:left="720" w:hanging="360"/>
      </w:pPr>
      <w:rPr>
        <w:sz w:val="24"/>
        <w:szCs w:val="24"/>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4954DCA"/>
    <w:multiLevelType w:val="hybridMultilevel"/>
    <w:tmpl w:val="0F64B2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16421FC3"/>
    <w:multiLevelType w:val="hybridMultilevel"/>
    <w:tmpl w:val="49F24356"/>
    <w:lvl w:ilvl="0" w:tplc="DC14739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F55931"/>
    <w:multiLevelType w:val="multilevel"/>
    <w:tmpl w:val="EEFC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7E6217"/>
    <w:multiLevelType w:val="hybridMultilevel"/>
    <w:tmpl w:val="A6BAB95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93949A9"/>
    <w:multiLevelType w:val="multilevel"/>
    <w:tmpl w:val="34E8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551AC6"/>
    <w:multiLevelType w:val="hybridMultilevel"/>
    <w:tmpl w:val="8F566A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1B496BFC"/>
    <w:multiLevelType w:val="hybridMultilevel"/>
    <w:tmpl w:val="E7BE1B28"/>
    <w:lvl w:ilvl="0" w:tplc="54BAD338">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0C7E1F"/>
    <w:multiLevelType w:val="multilevel"/>
    <w:tmpl w:val="E7EE427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DF27BFD"/>
    <w:multiLevelType w:val="multilevel"/>
    <w:tmpl w:val="13BEBA0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F414747"/>
    <w:multiLevelType w:val="multilevel"/>
    <w:tmpl w:val="84E81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924F86"/>
    <w:multiLevelType w:val="hybridMultilevel"/>
    <w:tmpl w:val="FDB49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0E47D66"/>
    <w:multiLevelType w:val="hybridMultilevel"/>
    <w:tmpl w:val="59C0B0C6"/>
    <w:lvl w:ilvl="0" w:tplc="184432EE">
      <w:start w:val="1"/>
      <w:numFmt w:val="decimal"/>
      <w:lvlText w:val="%1."/>
      <w:lvlJc w:val="left"/>
      <w:pPr>
        <w:ind w:left="502" w:hanging="360"/>
      </w:pPr>
      <w:rPr>
        <w:b/>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35" w15:restartNumberingAfterBreak="0">
    <w:nsid w:val="2303570C"/>
    <w:multiLevelType w:val="multilevel"/>
    <w:tmpl w:val="B0205B70"/>
    <w:lvl w:ilvl="0">
      <w:start w:val="1"/>
      <w:numFmt w:val="decimal"/>
      <w:lvlText w:val="%1."/>
      <w:lvlJc w:val="left"/>
      <w:pPr>
        <w:ind w:left="720" w:hanging="360"/>
      </w:pPr>
      <w:rPr>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3F06E68"/>
    <w:multiLevelType w:val="multilevel"/>
    <w:tmpl w:val="C4B4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AE30E1"/>
    <w:multiLevelType w:val="multilevel"/>
    <w:tmpl w:val="D2FC913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7105857"/>
    <w:multiLevelType w:val="multilevel"/>
    <w:tmpl w:val="B0205B70"/>
    <w:lvl w:ilvl="0">
      <w:start w:val="1"/>
      <w:numFmt w:val="decimal"/>
      <w:lvlText w:val="%1."/>
      <w:lvlJc w:val="left"/>
      <w:pPr>
        <w:ind w:left="720" w:hanging="360"/>
      </w:pPr>
      <w:rPr>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78148DE"/>
    <w:multiLevelType w:val="hybridMultilevel"/>
    <w:tmpl w:val="44ACCF24"/>
    <w:lvl w:ilvl="0" w:tplc="7B10ABEE">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0" w15:restartNumberingAfterBreak="0">
    <w:nsid w:val="2997473B"/>
    <w:multiLevelType w:val="hybridMultilevel"/>
    <w:tmpl w:val="DCEE396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1" w15:restartNumberingAfterBreak="0">
    <w:nsid w:val="2A721165"/>
    <w:multiLevelType w:val="multilevel"/>
    <w:tmpl w:val="22601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3039CE"/>
    <w:multiLevelType w:val="multilevel"/>
    <w:tmpl w:val="98E0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830DBA"/>
    <w:multiLevelType w:val="hybridMultilevel"/>
    <w:tmpl w:val="923C9B6C"/>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F620606"/>
    <w:multiLevelType w:val="hybridMultilevel"/>
    <w:tmpl w:val="812C04E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0821F27"/>
    <w:multiLevelType w:val="hybridMultilevel"/>
    <w:tmpl w:val="9432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0B134E1"/>
    <w:multiLevelType w:val="hybridMultilevel"/>
    <w:tmpl w:val="04E66D66"/>
    <w:lvl w:ilvl="0" w:tplc="75FA64D0">
      <w:start w:val="1"/>
      <w:numFmt w:val="lowerRoman"/>
      <w:lvlText w:val="%1."/>
      <w:lvlJc w:val="left"/>
      <w:pPr>
        <w:ind w:left="720" w:hanging="72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7" w15:restartNumberingAfterBreak="0">
    <w:nsid w:val="316A69C5"/>
    <w:multiLevelType w:val="multilevel"/>
    <w:tmpl w:val="1032AE04"/>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48" w15:restartNumberingAfterBreak="0">
    <w:nsid w:val="324E1158"/>
    <w:multiLevelType w:val="hybridMultilevel"/>
    <w:tmpl w:val="2200AC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21C46"/>
    <w:multiLevelType w:val="multilevel"/>
    <w:tmpl w:val="9B84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8238ED"/>
    <w:multiLevelType w:val="hybridMultilevel"/>
    <w:tmpl w:val="5CB8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3F6212F"/>
    <w:multiLevelType w:val="hybridMultilevel"/>
    <w:tmpl w:val="8272C43E"/>
    <w:lvl w:ilvl="0" w:tplc="DC14739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137973"/>
    <w:multiLevelType w:val="hybridMultilevel"/>
    <w:tmpl w:val="24ECBD84"/>
    <w:lvl w:ilvl="0" w:tplc="87680B3A">
      <w:numFmt w:val="bullet"/>
      <w:lvlText w:val="•"/>
      <w:lvlJc w:val="left"/>
      <w:pPr>
        <w:ind w:left="502" w:hanging="360"/>
      </w:pPr>
      <w:rPr>
        <w:rFonts w:ascii="Times New Roman" w:eastAsiaTheme="minorHAnsi" w:hAnsi="Times New Roman" w:cs="Times New Roman" w:hint="default"/>
        <w:b/>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53" w15:restartNumberingAfterBreak="0">
    <w:nsid w:val="349869B1"/>
    <w:multiLevelType w:val="multilevel"/>
    <w:tmpl w:val="7BEEF012"/>
    <w:lvl w:ilvl="0">
      <w:start w:val="1"/>
      <w:numFmt w:val="decimal"/>
      <w:lvlText w:val="%1."/>
      <w:lvlJc w:val="left"/>
      <w:pPr>
        <w:tabs>
          <w:tab w:val="num" w:pos="720"/>
        </w:tabs>
        <w:ind w:left="720" w:hanging="360"/>
      </w:pPr>
      <w:rPr>
        <w:b/>
        <w:bCs/>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52F144D"/>
    <w:multiLevelType w:val="hybridMultilevel"/>
    <w:tmpl w:val="13006170"/>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A41F8D"/>
    <w:multiLevelType w:val="hybridMultilevel"/>
    <w:tmpl w:val="3C10B2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384B65F1"/>
    <w:multiLevelType w:val="multilevel"/>
    <w:tmpl w:val="1D22E3E6"/>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57" w15:restartNumberingAfterBreak="0">
    <w:nsid w:val="3ABE544B"/>
    <w:multiLevelType w:val="multilevel"/>
    <w:tmpl w:val="8E46B78C"/>
    <w:lvl w:ilvl="0">
      <w:start w:val="1"/>
      <w:numFmt w:val="lowerRoman"/>
      <w:lvlText w:val="%1."/>
      <w:lvlJc w:val="right"/>
      <w:pPr>
        <w:ind w:left="360" w:hanging="360"/>
      </w:pPr>
      <w:rPr>
        <w:rFonts w:hint="default"/>
      </w:rPr>
    </w:lvl>
    <w:lvl w:ilvl="1">
      <w:start w:val="1"/>
      <w:numFmt w:val="lowerRoman"/>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B37789B"/>
    <w:multiLevelType w:val="hybridMultilevel"/>
    <w:tmpl w:val="23642D10"/>
    <w:lvl w:ilvl="0" w:tplc="79C4D59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3BB72756"/>
    <w:multiLevelType w:val="hybridMultilevel"/>
    <w:tmpl w:val="92B842FE"/>
    <w:lvl w:ilvl="0" w:tplc="8A36E2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D1010C"/>
    <w:multiLevelType w:val="hybridMultilevel"/>
    <w:tmpl w:val="D2A23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D9F3072"/>
    <w:multiLevelType w:val="hybridMultilevel"/>
    <w:tmpl w:val="1DE67DD8"/>
    <w:lvl w:ilvl="0" w:tplc="5EB8349C">
      <w:start w:val="1"/>
      <w:numFmt w:val="decimal"/>
      <w:lvlText w:val="%1."/>
      <w:lvlJc w:val="left"/>
      <w:pPr>
        <w:ind w:left="360" w:hanging="360"/>
      </w:pPr>
      <w:rPr>
        <w:b w:val="0"/>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2" w15:restartNumberingAfterBreak="0">
    <w:nsid w:val="3DA11C1B"/>
    <w:multiLevelType w:val="hybridMultilevel"/>
    <w:tmpl w:val="BA4C815C"/>
    <w:lvl w:ilvl="0" w:tplc="43A6A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E131348"/>
    <w:multiLevelType w:val="multilevel"/>
    <w:tmpl w:val="BC3E4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230836"/>
    <w:multiLevelType w:val="hybridMultilevel"/>
    <w:tmpl w:val="842402F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3E51645C"/>
    <w:multiLevelType w:val="multilevel"/>
    <w:tmpl w:val="B5146246"/>
    <w:lvl w:ilvl="0">
      <w:start w:val="1"/>
      <w:numFmt w:val="decimal"/>
      <w:lvlText w:val="%1."/>
      <w:lvlJc w:val="left"/>
      <w:pPr>
        <w:ind w:left="720" w:hanging="360"/>
      </w:pPr>
      <w:rPr>
        <w:b/>
        <w:bCs/>
        <w:sz w:val="24"/>
        <w:szCs w:val="24"/>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F0A349F"/>
    <w:multiLevelType w:val="hybridMultilevel"/>
    <w:tmpl w:val="CC06A9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FF56791"/>
    <w:multiLevelType w:val="hybridMultilevel"/>
    <w:tmpl w:val="21DC642E"/>
    <w:lvl w:ilvl="0" w:tplc="102CC7B6">
      <w:start w:val="1"/>
      <w:numFmt w:val="lowerLetter"/>
      <w:lvlText w:val="%1."/>
      <w:lvlJc w:val="left"/>
      <w:pPr>
        <w:ind w:left="540" w:hanging="360"/>
      </w:pPr>
      <w:rPr>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8" w15:restartNumberingAfterBreak="0">
    <w:nsid w:val="4166254A"/>
    <w:multiLevelType w:val="hybridMultilevel"/>
    <w:tmpl w:val="216A4C52"/>
    <w:lvl w:ilvl="0" w:tplc="04090001">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9" w15:restartNumberingAfterBreak="0">
    <w:nsid w:val="429A5579"/>
    <w:multiLevelType w:val="multilevel"/>
    <w:tmpl w:val="89F6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3BB1DBD"/>
    <w:multiLevelType w:val="hybridMultilevel"/>
    <w:tmpl w:val="4BA09B8E"/>
    <w:lvl w:ilvl="0" w:tplc="79C4D59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443B4FBA"/>
    <w:multiLevelType w:val="hybridMultilevel"/>
    <w:tmpl w:val="9566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4A24602"/>
    <w:multiLevelType w:val="multilevel"/>
    <w:tmpl w:val="44CC9908"/>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44A367A8"/>
    <w:multiLevelType w:val="multilevel"/>
    <w:tmpl w:val="C7E428F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155AB7"/>
    <w:multiLevelType w:val="hybridMultilevel"/>
    <w:tmpl w:val="CC58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86C2DCD"/>
    <w:multiLevelType w:val="hybridMultilevel"/>
    <w:tmpl w:val="B8066468"/>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A47382D"/>
    <w:multiLevelType w:val="hybridMultilevel"/>
    <w:tmpl w:val="ADECDA5E"/>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A8D4040"/>
    <w:multiLevelType w:val="hybridMultilevel"/>
    <w:tmpl w:val="198696A2"/>
    <w:lvl w:ilvl="0" w:tplc="DC14739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BAD795E"/>
    <w:multiLevelType w:val="hybridMultilevel"/>
    <w:tmpl w:val="D6A4CF18"/>
    <w:lvl w:ilvl="0" w:tplc="87A2C3C4">
      <w:start w:val="1"/>
      <w:numFmt w:val="decimal"/>
      <w:lvlText w:val="%1."/>
      <w:lvlJc w:val="left"/>
      <w:pPr>
        <w:ind w:left="36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9" w15:restartNumberingAfterBreak="0">
    <w:nsid w:val="4C32517D"/>
    <w:multiLevelType w:val="multilevel"/>
    <w:tmpl w:val="F98A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E5B39D8"/>
    <w:multiLevelType w:val="hybridMultilevel"/>
    <w:tmpl w:val="5590D68E"/>
    <w:lvl w:ilvl="0" w:tplc="893C52D2">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ED0594D"/>
    <w:multiLevelType w:val="hybridMultilevel"/>
    <w:tmpl w:val="3814C302"/>
    <w:lvl w:ilvl="0" w:tplc="43A6A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F140693"/>
    <w:multiLevelType w:val="hybridMultilevel"/>
    <w:tmpl w:val="9DA427AC"/>
    <w:lvl w:ilvl="0" w:tplc="79C4D598">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4FFB0AB0"/>
    <w:multiLevelType w:val="multilevel"/>
    <w:tmpl w:val="701A3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2B55E82"/>
    <w:multiLevelType w:val="singleLevel"/>
    <w:tmpl w:val="52B55E82"/>
    <w:lvl w:ilvl="0">
      <w:start w:val="7"/>
      <w:numFmt w:val="decimal"/>
      <w:suff w:val="space"/>
      <w:lvlText w:val="%1."/>
      <w:lvlJc w:val="left"/>
    </w:lvl>
  </w:abstractNum>
  <w:abstractNum w:abstractNumId="85" w15:restartNumberingAfterBreak="0">
    <w:nsid w:val="53053060"/>
    <w:multiLevelType w:val="multilevel"/>
    <w:tmpl w:val="28301220"/>
    <w:lvl w:ilvl="0">
      <w:start w:val="1"/>
      <w:numFmt w:val="upperRoman"/>
      <w:lvlText w:val="%1."/>
      <w:lvlJc w:val="right"/>
      <w:pPr>
        <w:ind w:left="360" w:hanging="360"/>
      </w:pPr>
      <w:rPr>
        <w:rFonts w:hint="default"/>
      </w:rPr>
    </w:lvl>
    <w:lvl w:ilvl="1">
      <w:start w:val="1"/>
      <w:numFmt w:val="lowerRoman"/>
      <w:lvlText w:val="%2."/>
      <w:lvlJc w:val="righ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6" w15:restartNumberingAfterBreak="0">
    <w:nsid w:val="53BE5E1B"/>
    <w:multiLevelType w:val="hybridMultilevel"/>
    <w:tmpl w:val="D6CE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3E94804"/>
    <w:multiLevelType w:val="hybridMultilevel"/>
    <w:tmpl w:val="F5008F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545767D8"/>
    <w:multiLevelType w:val="hybridMultilevel"/>
    <w:tmpl w:val="320E99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5806992"/>
    <w:multiLevelType w:val="multilevel"/>
    <w:tmpl w:val="869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5F721A7"/>
    <w:multiLevelType w:val="multilevel"/>
    <w:tmpl w:val="81AE5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382E06"/>
    <w:multiLevelType w:val="hybridMultilevel"/>
    <w:tmpl w:val="9176CDE0"/>
    <w:lvl w:ilvl="0" w:tplc="DF78A3E6">
      <w:start w:val="2"/>
      <w:numFmt w:val="bullet"/>
      <w:lvlText w:val="•"/>
      <w:lvlJc w:val="left"/>
      <w:pPr>
        <w:ind w:left="720" w:hanging="360"/>
      </w:pPr>
      <w:rPr>
        <w:rFonts w:ascii="Times New Roman" w:eastAsiaTheme="minorHAnsi" w:hAnsi="Times New Roman" w:cs="Times New Roman" w:hint="default"/>
        <w:b w:val="0"/>
        <w:bCs w:val="0"/>
      </w:rPr>
    </w:lvl>
    <w:lvl w:ilvl="1" w:tplc="DF78A3E6">
      <w:start w:val="2"/>
      <w:numFmt w:val="bullet"/>
      <w:lvlText w:val="•"/>
      <w:lvlJc w:val="left"/>
      <w:pPr>
        <w:ind w:left="99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A843D11"/>
    <w:multiLevelType w:val="hybridMultilevel"/>
    <w:tmpl w:val="BA6077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3" w15:restartNumberingAfterBreak="0">
    <w:nsid w:val="5B6A400D"/>
    <w:multiLevelType w:val="hybridMultilevel"/>
    <w:tmpl w:val="79681506"/>
    <w:lvl w:ilvl="0" w:tplc="B55862E8">
      <w:start w:val="1"/>
      <w:numFmt w:val="lowerRoman"/>
      <w:lvlText w:val="%1."/>
      <w:lvlJc w:val="left"/>
      <w:pPr>
        <w:ind w:left="720" w:hanging="720"/>
      </w:pPr>
      <w:rPr>
        <w:rFonts w:hint="default"/>
      </w:rPr>
    </w:lvl>
    <w:lvl w:ilvl="1" w:tplc="05B20194">
      <w:start w:val="1"/>
      <w:numFmt w:val="decimal"/>
      <w:lvlText w:val="%2."/>
      <w:lvlJc w:val="left"/>
      <w:pPr>
        <w:ind w:left="795" w:hanging="795"/>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4" w15:restartNumberingAfterBreak="0">
    <w:nsid w:val="5BAD40A9"/>
    <w:multiLevelType w:val="hybridMultilevel"/>
    <w:tmpl w:val="85626D3E"/>
    <w:lvl w:ilvl="0" w:tplc="DC14739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0EE5709"/>
    <w:multiLevelType w:val="hybridMultilevel"/>
    <w:tmpl w:val="5658C4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1B65DA3"/>
    <w:multiLevelType w:val="multilevel"/>
    <w:tmpl w:val="1E5C1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2BA3D31"/>
    <w:multiLevelType w:val="multilevel"/>
    <w:tmpl w:val="9DCC0B0A"/>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98" w15:restartNumberingAfterBreak="0">
    <w:nsid w:val="63BE2D2C"/>
    <w:multiLevelType w:val="hybridMultilevel"/>
    <w:tmpl w:val="645A6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47A72E8"/>
    <w:multiLevelType w:val="multilevel"/>
    <w:tmpl w:val="18EC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0A6DE8"/>
    <w:multiLevelType w:val="hybridMultilevel"/>
    <w:tmpl w:val="4B1261E0"/>
    <w:lvl w:ilvl="0" w:tplc="DC14739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5496BD1"/>
    <w:multiLevelType w:val="multilevel"/>
    <w:tmpl w:val="A6D6F5A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7806FD8"/>
    <w:multiLevelType w:val="hybridMultilevel"/>
    <w:tmpl w:val="0CE88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CF471A"/>
    <w:multiLevelType w:val="hybridMultilevel"/>
    <w:tmpl w:val="FD80BF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A731D5C"/>
    <w:multiLevelType w:val="hybridMultilevel"/>
    <w:tmpl w:val="1366B1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5" w15:restartNumberingAfterBreak="0">
    <w:nsid w:val="6C6D55A2"/>
    <w:multiLevelType w:val="hybridMultilevel"/>
    <w:tmpl w:val="2A8A3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0652A30"/>
    <w:multiLevelType w:val="hybridMultilevel"/>
    <w:tmpl w:val="7F320F06"/>
    <w:lvl w:ilvl="0" w:tplc="EDCE9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0680DA2"/>
    <w:multiLevelType w:val="hybridMultilevel"/>
    <w:tmpl w:val="646C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06A662C"/>
    <w:multiLevelType w:val="multilevel"/>
    <w:tmpl w:val="DA38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0D60228"/>
    <w:multiLevelType w:val="hybridMultilevel"/>
    <w:tmpl w:val="8B0E17AA"/>
    <w:lvl w:ilvl="0" w:tplc="4420093E">
      <w:start w:val="1"/>
      <w:numFmt w:val="decimal"/>
      <w:lvlText w:val="%1."/>
      <w:lvlJc w:val="left"/>
      <w:pPr>
        <w:ind w:left="540" w:hanging="360"/>
      </w:pPr>
      <w:rPr>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0" w15:restartNumberingAfterBreak="0">
    <w:nsid w:val="7165027E"/>
    <w:multiLevelType w:val="multilevel"/>
    <w:tmpl w:val="A37078B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11" w15:restartNumberingAfterBreak="0">
    <w:nsid w:val="71F0541A"/>
    <w:multiLevelType w:val="hybridMultilevel"/>
    <w:tmpl w:val="6A3AB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2F625D3"/>
    <w:multiLevelType w:val="hybridMultilevel"/>
    <w:tmpl w:val="9B826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302594C"/>
    <w:multiLevelType w:val="multilevel"/>
    <w:tmpl w:val="27182276"/>
    <w:lvl w:ilvl="0">
      <w:start w:val="1"/>
      <w:numFmt w:val="upperRoman"/>
      <w:lvlText w:val="%1."/>
      <w:lvlJc w:val="right"/>
      <w:pPr>
        <w:ind w:left="360" w:hanging="360"/>
      </w:pPr>
      <w:rPr>
        <w:rFonts w:hint="default"/>
      </w:rPr>
    </w:lvl>
    <w:lvl w:ilvl="1">
      <w:start w:val="1"/>
      <w:numFmt w:val="lowerRoman"/>
      <w:lvlText w:val="%2."/>
      <w:lvlJc w:val="righ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4" w15:restartNumberingAfterBreak="0">
    <w:nsid w:val="74CF7F4C"/>
    <w:multiLevelType w:val="hybridMultilevel"/>
    <w:tmpl w:val="9336FB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7584233E"/>
    <w:multiLevelType w:val="hybridMultilevel"/>
    <w:tmpl w:val="A40AC4AA"/>
    <w:lvl w:ilvl="0" w:tplc="377845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5F0464A"/>
    <w:multiLevelType w:val="multilevel"/>
    <w:tmpl w:val="B39E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697552A"/>
    <w:multiLevelType w:val="hybridMultilevel"/>
    <w:tmpl w:val="1472DC5A"/>
    <w:lvl w:ilvl="0" w:tplc="654EFCBA">
      <w:start w:val="1"/>
      <w:numFmt w:val="decimal"/>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76D756A8"/>
    <w:multiLevelType w:val="multilevel"/>
    <w:tmpl w:val="FDE8626A"/>
    <w:lvl w:ilvl="0">
      <w:start w:val="1"/>
      <w:numFmt w:val="decimal"/>
      <w:lvlText w:val="%1."/>
      <w:lvlJc w:val="left"/>
      <w:pPr>
        <w:ind w:left="360" w:hanging="360"/>
      </w:p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9" w15:restartNumberingAfterBreak="0">
    <w:nsid w:val="771A7E3F"/>
    <w:multiLevelType w:val="hybridMultilevel"/>
    <w:tmpl w:val="3518691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0" w15:restartNumberingAfterBreak="0">
    <w:nsid w:val="7AEA3F26"/>
    <w:multiLevelType w:val="hybridMultilevel"/>
    <w:tmpl w:val="C7021330"/>
    <w:lvl w:ilvl="0" w:tplc="DC147392">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AEF00D0"/>
    <w:multiLevelType w:val="multilevel"/>
    <w:tmpl w:val="B5146246"/>
    <w:lvl w:ilvl="0">
      <w:start w:val="1"/>
      <w:numFmt w:val="decimal"/>
      <w:lvlText w:val="%1."/>
      <w:lvlJc w:val="left"/>
      <w:pPr>
        <w:ind w:left="720" w:hanging="360"/>
      </w:pPr>
      <w:rPr>
        <w:b/>
        <w:bCs/>
        <w:sz w:val="24"/>
        <w:szCs w:val="24"/>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7DA3340C"/>
    <w:multiLevelType w:val="hybridMultilevel"/>
    <w:tmpl w:val="7C6CA2D2"/>
    <w:lvl w:ilvl="0" w:tplc="367C8170">
      <w:start w:val="1"/>
      <w:numFmt w:val="decimal"/>
      <w:lvlText w:val="%1."/>
      <w:lvlJc w:val="left"/>
      <w:pPr>
        <w:ind w:left="720" w:hanging="360"/>
      </w:pPr>
      <w:rPr>
        <w:b w:val="0"/>
        <w:bCs w:val="0"/>
      </w:rPr>
    </w:lvl>
    <w:lvl w:ilvl="1" w:tplc="DF78A3E6">
      <w:start w:val="2"/>
      <w:numFmt w:val="bullet"/>
      <w:lvlText w:val="•"/>
      <w:lvlJc w:val="left"/>
      <w:pPr>
        <w:ind w:left="99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DA74387"/>
    <w:multiLevelType w:val="multilevel"/>
    <w:tmpl w:val="979A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DAB5AE1"/>
    <w:multiLevelType w:val="hybridMultilevel"/>
    <w:tmpl w:val="8AF2E8B8"/>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E85121B"/>
    <w:multiLevelType w:val="multilevel"/>
    <w:tmpl w:val="7DEAD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FC6309A"/>
    <w:multiLevelType w:val="hybridMultilevel"/>
    <w:tmpl w:val="1F9E4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81894460">
    <w:abstractNumId w:val="13"/>
  </w:num>
  <w:num w:numId="2" w16cid:durableId="941298084">
    <w:abstractNumId w:val="24"/>
  </w:num>
  <w:num w:numId="3" w16cid:durableId="945187741">
    <w:abstractNumId w:val="101"/>
  </w:num>
  <w:num w:numId="4" w16cid:durableId="1057123944">
    <w:abstractNumId w:val="115"/>
  </w:num>
  <w:num w:numId="5" w16cid:durableId="325593452">
    <w:abstractNumId w:val="77"/>
  </w:num>
  <w:num w:numId="6" w16cid:durableId="662516524">
    <w:abstractNumId w:val="100"/>
  </w:num>
  <w:num w:numId="7" w16cid:durableId="1311445063">
    <w:abstractNumId w:val="51"/>
  </w:num>
  <w:num w:numId="8" w16cid:durableId="325741573">
    <w:abstractNumId w:val="59"/>
  </w:num>
  <w:num w:numId="9" w16cid:durableId="127015065">
    <w:abstractNumId w:val="120"/>
  </w:num>
  <w:num w:numId="10" w16cid:durableId="1884366810">
    <w:abstractNumId w:val="94"/>
  </w:num>
  <w:num w:numId="11" w16cid:durableId="1723403423">
    <w:abstractNumId w:val="126"/>
  </w:num>
  <w:num w:numId="12" w16cid:durableId="745766817">
    <w:abstractNumId w:val="35"/>
  </w:num>
  <w:num w:numId="13" w16cid:durableId="1797094429">
    <w:abstractNumId w:val="50"/>
  </w:num>
  <w:num w:numId="14" w16cid:durableId="911353797">
    <w:abstractNumId w:val="124"/>
  </w:num>
  <w:num w:numId="15" w16cid:durableId="1468816457">
    <w:abstractNumId w:val="79"/>
  </w:num>
  <w:num w:numId="16" w16cid:durableId="1311062347">
    <w:abstractNumId w:val="8"/>
  </w:num>
  <w:num w:numId="17" w16cid:durableId="964506143">
    <w:abstractNumId w:val="38"/>
  </w:num>
  <w:num w:numId="18" w16cid:durableId="2041004068">
    <w:abstractNumId w:val="11"/>
  </w:num>
  <w:num w:numId="19" w16cid:durableId="1202128115">
    <w:abstractNumId w:val="21"/>
  </w:num>
  <w:num w:numId="20" w16cid:durableId="279383534">
    <w:abstractNumId w:val="10"/>
  </w:num>
  <w:num w:numId="21" w16cid:durableId="1660690621">
    <w:abstractNumId w:val="106"/>
  </w:num>
  <w:num w:numId="22" w16cid:durableId="415395579">
    <w:abstractNumId w:val="54"/>
  </w:num>
  <w:num w:numId="23" w16cid:durableId="342633067">
    <w:abstractNumId w:val="76"/>
  </w:num>
  <w:num w:numId="24" w16cid:durableId="778372081">
    <w:abstractNumId w:val="44"/>
  </w:num>
  <w:num w:numId="25" w16cid:durableId="1574438013">
    <w:abstractNumId w:val="75"/>
  </w:num>
  <w:num w:numId="26" w16cid:durableId="1759281081">
    <w:abstractNumId w:val="43"/>
  </w:num>
  <w:num w:numId="27" w16cid:durableId="1051684522">
    <w:abstractNumId w:val="102"/>
  </w:num>
  <w:num w:numId="28" w16cid:durableId="1222253877">
    <w:abstractNumId w:val="12"/>
  </w:num>
  <w:num w:numId="29" w16cid:durableId="2056654427">
    <w:abstractNumId w:val="18"/>
  </w:num>
  <w:num w:numId="30" w16cid:durableId="2128504842">
    <w:abstractNumId w:val="60"/>
  </w:num>
  <w:num w:numId="31" w16cid:durableId="936403726">
    <w:abstractNumId w:val="83"/>
  </w:num>
  <w:num w:numId="32" w16cid:durableId="436025225">
    <w:abstractNumId w:val="81"/>
  </w:num>
  <w:num w:numId="33" w16cid:durableId="623193327">
    <w:abstractNumId w:val="6"/>
  </w:num>
  <w:num w:numId="34" w16cid:durableId="613251329">
    <w:abstractNumId w:val="26"/>
  </w:num>
  <w:num w:numId="35" w16cid:durableId="873613735">
    <w:abstractNumId w:val="14"/>
  </w:num>
  <w:num w:numId="36" w16cid:durableId="1824812207">
    <w:abstractNumId w:val="105"/>
  </w:num>
  <w:num w:numId="37" w16cid:durableId="1687705827">
    <w:abstractNumId w:val="48"/>
  </w:num>
  <w:num w:numId="38" w16cid:durableId="1880361630">
    <w:abstractNumId w:val="88"/>
  </w:num>
  <w:num w:numId="39" w16cid:durableId="1486311268">
    <w:abstractNumId w:val="15"/>
  </w:num>
  <w:num w:numId="40" w16cid:durableId="905916064">
    <w:abstractNumId w:val="62"/>
  </w:num>
  <w:num w:numId="41" w16cid:durableId="614824471">
    <w:abstractNumId w:val="68"/>
  </w:num>
  <w:num w:numId="42" w16cid:durableId="1768496783">
    <w:abstractNumId w:val="121"/>
  </w:num>
  <w:num w:numId="43" w16cid:durableId="1867063003">
    <w:abstractNumId w:val="17"/>
  </w:num>
  <w:num w:numId="44" w16cid:durableId="2002007090">
    <w:abstractNumId w:val="97"/>
  </w:num>
  <w:num w:numId="45" w16cid:durableId="503058348">
    <w:abstractNumId w:val="47"/>
  </w:num>
  <w:num w:numId="46" w16cid:durableId="357892133">
    <w:abstractNumId w:val="110"/>
  </w:num>
  <w:num w:numId="47" w16cid:durableId="1024481052">
    <w:abstractNumId w:val="56"/>
  </w:num>
  <w:num w:numId="48" w16cid:durableId="1304316440">
    <w:abstractNumId w:val="67"/>
  </w:num>
  <w:num w:numId="49" w16cid:durableId="581717263">
    <w:abstractNumId w:val="112"/>
  </w:num>
  <w:num w:numId="50" w16cid:durableId="665092067">
    <w:abstractNumId w:val="4"/>
  </w:num>
  <w:num w:numId="51" w16cid:durableId="1458794527">
    <w:abstractNumId w:val="65"/>
  </w:num>
  <w:num w:numId="52" w16cid:durableId="36525543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0405045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730899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8273382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707432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342713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04912267">
    <w:abstractNumId w:val="73"/>
  </w:num>
  <w:num w:numId="59" w16cid:durableId="1925844528">
    <w:abstractNumId w:val="25"/>
  </w:num>
  <w:num w:numId="60" w16cid:durableId="706880434">
    <w:abstractNumId w:val="9"/>
  </w:num>
  <w:num w:numId="61" w16cid:durableId="167908088">
    <w:abstractNumId w:val="104"/>
  </w:num>
  <w:num w:numId="62" w16cid:durableId="1878925494">
    <w:abstractNumId w:val="28"/>
  </w:num>
  <w:num w:numId="63" w16cid:durableId="2100254581">
    <w:abstractNumId w:val="78"/>
  </w:num>
  <w:num w:numId="64" w16cid:durableId="1316684170">
    <w:abstractNumId w:val="23"/>
  </w:num>
  <w:num w:numId="65" w16cid:durableId="177358240">
    <w:abstractNumId w:val="31"/>
  </w:num>
  <w:num w:numId="66" w16cid:durableId="749666758">
    <w:abstractNumId w:val="123"/>
  </w:num>
  <w:num w:numId="67" w16cid:durableId="872766041">
    <w:abstractNumId w:val="87"/>
  </w:num>
  <w:num w:numId="68" w16cid:durableId="1709376717">
    <w:abstractNumId w:val="34"/>
  </w:num>
  <w:num w:numId="69" w16cid:durableId="1945920113">
    <w:abstractNumId w:val="5"/>
  </w:num>
  <w:num w:numId="70" w16cid:durableId="513347245">
    <w:abstractNumId w:val="52"/>
  </w:num>
  <w:num w:numId="71" w16cid:durableId="2002612704">
    <w:abstractNumId w:val="114"/>
  </w:num>
  <w:num w:numId="72" w16cid:durableId="519129423">
    <w:abstractNumId w:val="55"/>
  </w:num>
  <w:num w:numId="73" w16cid:durableId="875585349">
    <w:abstractNumId w:val="37"/>
  </w:num>
  <w:num w:numId="74" w16cid:durableId="1269509971">
    <w:abstractNumId w:val="92"/>
  </w:num>
  <w:num w:numId="75" w16cid:durableId="1551572361">
    <w:abstractNumId w:val="64"/>
  </w:num>
  <w:num w:numId="76" w16cid:durableId="8341721">
    <w:abstractNumId w:val="66"/>
  </w:num>
  <w:num w:numId="77" w16cid:durableId="2081558389">
    <w:abstractNumId w:val="22"/>
  </w:num>
  <w:num w:numId="78" w16cid:durableId="936602552">
    <w:abstractNumId w:val="95"/>
  </w:num>
  <w:num w:numId="79" w16cid:durableId="981232411">
    <w:abstractNumId w:val="71"/>
  </w:num>
  <w:num w:numId="80" w16cid:durableId="1949240056">
    <w:abstractNumId w:val="98"/>
  </w:num>
  <w:num w:numId="81" w16cid:durableId="156265573">
    <w:abstractNumId w:val="74"/>
  </w:num>
  <w:num w:numId="82" w16cid:durableId="1220050748">
    <w:abstractNumId w:val="3"/>
  </w:num>
  <w:num w:numId="83" w16cid:durableId="47655534">
    <w:abstractNumId w:val="86"/>
  </w:num>
  <w:num w:numId="84" w16cid:durableId="2077778712">
    <w:abstractNumId w:val="45"/>
  </w:num>
  <w:num w:numId="85" w16cid:durableId="249242253">
    <w:abstractNumId w:val="109"/>
  </w:num>
  <w:num w:numId="86" w16cid:durableId="1954358826">
    <w:abstractNumId w:val="99"/>
  </w:num>
  <w:num w:numId="87" w16cid:durableId="809397463">
    <w:abstractNumId w:val="2"/>
  </w:num>
  <w:num w:numId="88" w16cid:durableId="2032492165">
    <w:abstractNumId w:val="69"/>
  </w:num>
  <w:num w:numId="89" w16cid:durableId="439033196">
    <w:abstractNumId w:val="111"/>
  </w:num>
  <w:num w:numId="90" w16cid:durableId="1275986805">
    <w:abstractNumId w:val="41"/>
  </w:num>
  <w:num w:numId="91" w16cid:durableId="1215846157">
    <w:abstractNumId w:val="20"/>
  </w:num>
  <w:num w:numId="92" w16cid:durableId="1250235023">
    <w:abstractNumId w:val="57"/>
  </w:num>
  <w:num w:numId="93" w16cid:durableId="130438692">
    <w:abstractNumId w:val="113"/>
  </w:num>
  <w:num w:numId="94" w16cid:durableId="487936766">
    <w:abstractNumId w:val="85"/>
  </w:num>
  <w:num w:numId="95" w16cid:durableId="1718626767">
    <w:abstractNumId w:val="46"/>
  </w:num>
  <w:num w:numId="96" w16cid:durableId="1432358600">
    <w:abstractNumId w:val="93"/>
  </w:num>
  <w:num w:numId="97" w16cid:durableId="579338652">
    <w:abstractNumId w:val="39"/>
  </w:num>
  <w:num w:numId="98" w16cid:durableId="1057971463">
    <w:abstractNumId w:val="61"/>
  </w:num>
  <w:num w:numId="99" w16cid:durableId="1932198453">
    <w:abstractNumId w:val="89"/>
  </w:num>
  <w:num w:numId="100" w16cid:durableId="1216350549">
    <w:abstractNumId w:val="49"/>
  </w:num>
  <w:num w:numId="101" w16cid:durableId="1010715810">
    <w:abstractNumId w:val="90"/>
  </w:num>
  <w:num w:numId="102" w16cid:durableId="1988513058">
    <w:abstractNumId w:val="116"/>
  </w:num>
  <w:num w:numId="103" w16cid:durableId="650985573">
    <w:abstractNumId w:val="80"/>
  </w:num>
  <w:num w:numId="104" w16cid:durableId="801197150">
    <w:abstractNumId w:val="96"/>
  </w:num>
  <w:num w:numId="105" w16cid:durableId="777484483">
    <w:abstractNumId w:val="19"/>
  </w:num>
  <w:num w:numId="106" w16cid:durableId="1089042216">
    <w:abstractNumId w:val="103"/>
  </w:num>
  <w:num w:numId="107" w16cid:durableId="239097229">
    <w:abstractNumId w:val="27"/>
  </w:num>
  <w:num w:numId="108" w16cid:durableId="1760640405">
    <w:abstractNumId w:val="63"/>
  </w:num>
  <w:num w:numId="109" w16cid:durableId="245305213">
    <w:abstractNumId w:val="7"/>
  </w:num>
  <w:num w:numId="110" w16cid:durableId="1878010690">
    <w:abstractNumId w:val="32"/>
  </w:num>
  <w:num w:numId="111" w16cid:durableId="1385376641">
    <w:abstractNumId w:val="30"/>
  </w:num>
  <w:num w:numId="112" w16cid:durableId="332688672">
    <w:abstractNumId w:val="108"/>
  </w:num>
  <w:num w:numId="113" w16cid:durableId="441654220">
    <w:abstractNumId w:val="36"/>
  </w:num>
  <w:num w:numId="114" w16cid:durableId="534855231">
    <w:abstractNumId w:val="125"/>
  </w:num>
  <w:num w:numId="115" w16cid:durableId="342702888">
    <w:abstractNumId w:val="29"/>
  </w:num>
  <w:num w:numId="116" w16cid:durableId="1826388953">
    <w:abstractNumId w:val="72"/>
  </w:num>
  <w:num w:numId="117" w16cid:durableId="766509260">
    <w:abstractNumId w:val="40"/>
  </w:num>
  <w:num w:numId="118" w16cid:durableId="1909917421">
    <w:abstractNumId w:val="119"/>
  </w:num>
  <w:num w:numId="119" w16cid:durableId="1724865047">
    <w:abstractNumId w:val="42"/>
  </w:num>
  <w:num w:numId="120" w16cid:durableId="631403018">
    <w:abstractNumId w:val="53"/>
  </w:num>
  <w:num w:numId="121" w16cid:durableId="548879949">
    <w:abstractNumId w:val="122"/>
  </w:num>
  <w:num w:numId="122" w16cid:durableId="1496457563">
    <w:abstractNumId w:val="118"/>
  </w:num>
  <w:num w:numId="123" w16cid:durableId="1359161783">
    <w:abstractNumId w:val="107"/>
  </w:num>
  <w:num w:numId="124" w16cid:durableId="682904302">
    <w:abstractNumId w:val="91"/>
  </w:num>
  <w:num w:numId="125" w16cid:durableId="184368792">
    <w:abstractNumId w:val="0"/>
  </w:num>
  <w:num w:numId="126" w16cid:durableId="895969044">
    <w:abstractNumId w:val="84"/>
  </w:num>
  <w:num w:numId="127" w16cid:durableId="1905137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3D"/>
    <w:rsid w:val="00002201"/>
    <w:rsid w:val="00005A84"/>
    <w:rsid w:val="000114F3"/>
    <w:rsid w:val="00031ED5"/>
    <w:rsid w:val="00032443"/>
    <w:rsid w:val="0003515C"/>
    <w:rsid w:val="0006219A"/>
    <w:rsid w:val="00066EA6"/>
    <w:rsid w:val="00071C3D"/>
    <w:rsid w:val="00084418"/>
    <w:rsid w:val="000857BE"/>
    <w:rsid w:val="000867F2"/>
    <w:rsid w:val="0009081D"/>
    <w:rsid w:val="00091BAC"/>
    <w:rsid w:val="00092251"/>
    <w:rsid w:val="00094B34"/>
    <w:rsid w:val="00097645"/>
    <w:rsid w:val="000A7BB8"/>
    <w:rsid w:val="000B05C1"/>
    <w:rsid w:val="000D1A04"/>
    <w:rsid w:val="000D357F"/>
    <w:rsid w:val="000D3B87"/>
    <w:rsid w:val="000D3C9E"/>
    <w:rsid w:val="000E70F2"/>
    <w:rsid w:val="000F60D6"/>
    <w:rsid w:val="00102AE8"/>
    <w:rsid w:val="001109DD"/>
    <w:rsid w:val="00111435"/>
    <w:rsid w:val="0011150A"/>
    <w:rsid w:val="001171BC"/>
    <w:rsid w:val="00124BC2"/>
    <w:rsid w:val="00140125"/>
    <w:rsid w:val="0014798B"/>
    <w:rsid w:val="00162517"/>
    <w:rsid w:val="00166E7C"/>
    <w:rsid w:val="0017751F"/>
    <w:rsid w:val="00180CE5"/>
    <w:rsid w:val="001816E2"/>
    <w:rsid w:val="00185FD8"/>
    <w:rsid w:val="001910BC"/>
    <w:rsid w:val="0019142F"/>
    <w:rsid w:val="001A5139"/>
    <w:rsid w:val="001A779E"/>
    <w:rsid w:val="001B0FED"/>
    <w:rsid w:val="001B693F"/>
    <w:rsid w:val="001C0B24"/>
    <w:rsid w:val="001C4519"/>
    <w:rsid w:val="001E679E"/>
    <w:rsid w:val="001F0CE8"/>
    <w:rsid w:val="00201641"/>
    <w:rsid w:val="00215623"/>
    <w:rsid w:val="002219B3"/>
    <w:rsid w:val="00224C6A"/>
    <w:rsid w:val="0023096B"/>
    <w:rsid w:val="002321BF"/>
    <w:rsid w:val="002425B9"/>
    <w:rsid w:val="0024483A"/>
    <w:rsid w:val="00245276"/>
    <w:rsid w:val="002502D0"/>
    <w:rsid w:val="00262580"/>
    <w:rsid w:val="00277BBF"/>
    <w:rsid w:val="00291501"/>
    <w:rsid w:val="00296604"/>
    <w:rsid w:val="002A45AD"/>
    <w:rsid w:val="002B47E0"/>
    <w:rsid w:val="002C5035"/>
    <w:rsid w:val="002C7EB4"/>
    <w:rsid w:val="002D0167"/>
    <w:rsid w:val="002D3101"/>
    <w:rsid w:val="002D5004"/>
    <w:rsid w:val="002F7AD3"/>
    <w:rsid w:val="00305360"/>
    <w:rsid w:val="00320ACD"/>
    <w:rsid w:val="00335BFC"/>
    <w:rsid w:val="003370EE"/>
    <w:rsid w:val="00353F20"/>
    <w:rsid w:val="003571F7"/>
    <w:rsid w:val="00361086"/>
    <w:rsid w:val="00363273"/>
    <w:rsid w:val="00366D46"/>
    <w:rsid w:val="003670A9"/>
    <w:rsid w:val="00367FAA"/>
    <w:rsid w:val="0037054E"/>
    <w:rsid w:val="00374818"/>
    <w:rsid w:val="0037659C"/>
    <w:rsid w:val="003B6CFC"/>
    <w:rsid w:val="003C5584"/>
    <w:rsid w:val="003C773E"/>
    <w:rsid w:val="003D02E4"/>
    <w:rsid w:val="003D32D5"/>
    <w:rsid w:val="003D6D65"/>
    <w:rsid w:val="003E0DB9"/>
    <w:rsid w:val="003E2FCC"/>
    <w:rsid w:val="003E701C"/>
    <w:rsid w:val="003F346E"/>
    <w:rsid w:val="003F6F17"/>
    <w:rsid w:val="00403896"/>
    <w:rsid w:val="00415834"/>
    <w:rsid w:val="00421E07"/>
    <w:rsid w:val="0042265D"/>
    <w:rsid w:val="0043040A"/>
    <w:rsid w:val="00457A35"/>
    <w:rsid w:val="004604F9"/>
    <w:rsid w:val="004605A6"/>
    <w:rsid w:val="004609AE"/>
    <w:rsid w:val="00461929"/>
    <w:rsid w:val="004628C0"/>
    <w:rsid w:val="00477AFB"/>
    <w:rsid w:val="004938E1"/>
    <w:rsid w:val="004A04D8"/>
    <w:rsid w:val="004A3364"/>
    <w:rsid w:val="004C1269"/>
    <w:rsid w:val="004C6902"/>
    <w:rsid w:val="004D142A"/>
    <w:rsid w:val="004D1624"/>
    <w:rsid w:val="004D3EBD"/>
    <w:rsid w:val="004D52A8"/>
    <w:rsid w:val="004E39C0"/>
    <w:rsid w:val="004F1700"/>
    <w:rsid w:val="004F37B7"/>
    <w:rsid w:val="004F6BD7"/>
    <w:rsid w:val="004F79CE"/>
    <w:rsid w:val="00505B7B"/>
    <w:rsid w:val="00514377"/>
    <w:rsid w:val="005174CF"/>
    <w:rsid w:val="00520A86"/>
    <w:rsid w:val="00524E69"/>
    <w:rsid w:val="00526FBA"/>
    <w:rsid w:val="00545A58"/>
    <w:rsid w:val="00556BD2"/>
    <w:rsid w:val="00557226"/>
    <w:rsid w:val="00561844"/>
    <w:rsid w:val="00570B1E"/>
    <w:rsid w:val="005865A5"/>
    <w:rsid w:val="005972CC"/>
    <w:rsid w:val="005A08F6"/>
    <w:rsid w:val="005A34CD"/>
    <w:rsid w:val="005B256B"/>
    <w:rsid w:val="005C037C"/>
    <w:rsid w:val="005C4783"/>
    <w:rsid w:val="005C787D"/>
    <w:rsid w:val="005D2061"/>
    <w:rsid w:val="005D5B56"/>
    <w:rsid w:val="005F59D8"/>
    <w:rsid w:val="005F5B71"/>
    <w:rsid w:val="00603AE9"/>
    <w:rsid w:val="00606213"/>
    <w:rsid w:val="00620BB5"/>
    <w:rsid w:val="00633E7C"/>
    <w:rsid w:val="00635982"/>
    <w:rsid w:val="00641FAF"/>
    <w:rsid w:val="0064209A"/>
    <w:rsid w:val="00644697"/>
    <w:rsid w:val="00645E7D"/>
    <w:rsid w:val="006557D3"/>
    <w:rsid w:val="00684E6D"/>
    <w:rsid w:val="0069029F"/>
    <w:rsid w:val="00693652"/>
    <w:rsid w:val="006A48FE"/>
    <w:rsid w:val="006A5110"/>
    <w:rsid w:val="006B3782"/>
    <w:rsid w:val="006B52C0"/>
    <w:rsid w:val="006C5167"/>
    <w:rsid w:val="006C6046"/>
    <w:rsid w:val="006C7063"/>
    <w:rsid w:val="006C73E8"/>
    <w:rsid w:val="006C7AFF"/>
    <w:rsid w:val="006D4119"/>
    <w:rsid w:val="006D4711"/>
    <w:rsid w:val="006D6C50"/>
    <w:rsid w:val="006E265F"/>
    <w:rsid w:val="006E7DD7"/>
    <w:rsid w:val="006F5AF7"/>
    <w:rsid w:val="006F6D75"/>
    <w:rsid w:val="00701590"/>
    <w:rsid w:val="00701D30"/>
    <w:rsid w:val="007067DA"/>
    <w:rsid w:val="007108E0"/>
    <w:rsid w:val="007170C7"/>
    <w:rsid w:val="007235DC"/>
    <w:rsid w:val="007245CC"/>
    <w:rsid w:val="007317AE"/>
    <w:rsid w:val="00743C35"/>
    <w:rsid w:val="00761CC2"/>
    <w:rsid w:val="0076327D"/>
    <w:rsid w:val="007759FC"/>
    <w:rsid w:val="007A20A1"/>
    <w:rsid w:val="007A6522"/>
    <w:rsid w:val="007A7961"/>
    <w:rsid w:val="007C254A"/>
    <w:rsid w:val="007C4E3F"/>
    <w:rsid w:val="007E159D"/>
    <w:rsid w:val="007E17F9"/>
    <w:rsid w:val="007E1BDD"/>
    <w:rsid w:val="007E7F7A"/>
    <w:rsid w:val="007F2FD1"/>
    <w:rsid w:val="0080023D"/>
    <w:rsid w:val="008071A0"/>
    <w:rsid w:val="00823C2B"/>
    <w:rsid w:val="0083237D"/>
    <w:rsid w:val="008728EF"/>
    <w:rsid w:val="00877BE3"/>
    <w:rsid w:val="008938CB"/>
    <w:rsid w:val="00893924"/>
    <w:rsid w:val="008B2BDA"/>
    <w:rsid w:val="008B3FFD"/>
    <w:rsid w:val="008B5545"/>
    <w:rsid w:val="008B6A9B"/>
    <w:rsid w:val="008C33CA"/>
    <w:rsid w:val="008D0AA9"/>
    <w:rsid w:val="008F044B"/>
    <w:rsid w:val="008F04A5"/>
    <w:rsid w:val="008F0657"/>
    <w:rsid w:val="008F172B"/>
    <w:rsid w:val="0090062D"/>
    <w:rsid w:val="009113D1"/>
    <w:rsid w:val="0091149A"/>
    <w:rsid w:val="00915F81"/>
    <w:rsid w:val="0093503E"/>
    <w:rsid w:val="009369A6"/>
    <w:rsid w:val="0093793F"/>
    <w:rsid w:val="00942D4A"/>
    <w:rsid w:val="00943C83"/>
    <w:rsid w:val="00954957"/>
    <w:rsid w:val="0097493E"/>
    <w:rsid w:val="00977863"/>
    <w:rsid w:val="00991357"/>
    <w:rsid w:val="00992111"/>
    <w:rsid w:val="009A00CE"/>
    <w:rsid w:val="009A12B7"/>
    <w:rsid w:val="009A487B"/>
    <w:rsid w:val="009A76F3"/>
    <w:rsid w:val="009B00C3"/>
    <w:rsid w:val="009B068B"/>
    <w:rsid w:val="009C4BC8"/>
    <w:rsid w:val="009D2945"/>
    <w:rsid w:val="009D2BF7"/>
    <w:rsid w:val="009E46B9"/>
    <w:rsid w:val="009F6044"/>
    <w:rsid w:val="00A0228F"/>
    <w:rsid w:val="00A037DF"/>
    <w:rsid w:val="00A066C2"/>
    <w:rsid w:val="00A117CD"/>
    <w:rsid w:val="00A16602"/>
    <w:rsid w:val="00A1765E"/>
    <w:rsid w:val="00A27D1E"/>
    <w:rsid w:val="00A337C3"/>
    <w:rsid w:val="00A45B18"/>
    <w:rsid w:val="00A50734"/>
    <w:rsid w:val="00A50997"/>
    <w:rsid w:val="00A523BD"/>
    <w:rsid w:val="00A55AB2"/>
    <w:rsid w:val="00A56D01"/>
    <w:rsid w:val="00A60C91"/>
    <w:rsid w:val="00A6200A"/>
    <w:rsid w:val="00A6239E"/>
    <w:rsid w:val="00A66C74"/>
    <w:rsid w:val="00A701CB"/>
    <w:rsid w:val="00A81344"/>
    <w:rsid w:val="00A85231"/>
    <w:rsid w:val="00A86C76"/>
    <w:rsid w:val="00AB41A8"/>
    <w:rsid w:val="00AB551B"/>
    <w:rsid w:val="00AB5FF2"/>
    <w:rsid w:val="00AB6401"/>
    <w:rsid w:val="00AB6B08"/>
    <w:rsid w:val="00AC71F5"/>
    <w:rsid w:val="00AD1954"/>
    <w:rsid w:val="00AD53A8"/>
    <w:rsid w:val="00AD5E35"/>
    <w:rsid w:val="00AD6A18"/>
    <w:rsid w:val="00AF53B0"/>
    <w:rsid w:val="00B10736"/>
    <w:rsid w:val="00B117D9"/>
    <w:rsid w:val="00B12584"/>
    <w:rsid w:val="00B13595"/>
    <w:rsid w:val="00B153AB"/>
    <w:rsid w:val="00B2512E"/>
    <w:rsid w:val="00B362FF"/>
    <w:rsid w:val="00B72594"/>
    <w:rsid w:val="00B834DF"/>
    <w:rsid w:val="00B83BC6"/>
    <w:rsid w:val="00B849D2"/>
    <w:rsid w:val="00B92714"/>
    <w:rsid w:val="00BB06BA"/>
    <w:rsid w:val="00BB1421"/>
    <w:rsid w:val="00BC1244"/>
    <w:rsid w:val="00BD41D6"/>
    <w:rsid w:val="00BD6FE3"/>
    <w:rsid w:val="00BE09C4"/>
    <w:rsid w:val="00C01E35"/>
    <w:rsid w:val="00C027D8"/>
    <w:rsid w:val="00C05F61"/>
    <w:rsid w:val="00C07592"/>
    <w:rsid w:val="00C21F0D"/>
    <w:rsid w:val="00C229F5"/>
    <w:rsid w:val="00C279D6"/>
    <w:rsid w:val="00C31957"/>
    <w:rsid w:val="00C33794"/>
    <w:rsid w:val="00C36D0F"/>
    <w:rsid w:val="00C37ED6"/>
    <w:rsid w:val="00C40486"/>
    <w:rsid w:val="00C43794"/>
    <w:rsid w:val="00C51F60"/>
    <w:rsid w:val="00C56D74"/>
    <w:rsid w:val="00C57DCF"/>
    <w:rsid w:val="00C61A9C"/>
    <w:rsid w:val="00C677F5"/>
    <w:rsid w:val="00C70D79"/>
    <w:rsid w:val="00C80608"/>
    <w:rsid w:val="00C85FE2"/>
    <w:rsid w:val="00C91BDC"/>
    <w:rsid w:val="00CA2EC3"/>
    <w:rsid w:val="00CA5403"/>
    <w:rsid w:val="00CB290E"/>
    <w:rsid w:val="00CB34A3"/>
    <w:rsid w:val="00CB5F98"/>
    <w:rsid w:val="00CC5C3E"/>
    <w:rsid w:val="00CC6DF4"/>
    <w:rsid w:val="00CC7D59"/>
    <w:rsid w:val="00CD2F9D"/>
    <w:rsid w:val="00CE0850"/>
    <w:rsid w:val="00CE625B"/>
    <w:rsid w:val="00D00260"/>
    <w:rsid w:val="00D040E7"/>
    <w:rsid w:val="00D078DC"/>
    <w:rsid w:val="00D20A32"/>
    <w:rsid w:val="00D20AE2"/>
    <w:rsid w:val="00D21D42"/>
    <w:rsid w:val="00D23A87"/>
    <w:rsid w:val="00D32DDA"/>
    <w:rsid w:val="00D34869"/>
    <w:rsid w:val="00D461AD"/>
    <w:rsid w:val="00D81698"/>
    <w:rsid w:val="00D81920"/>
    <w:rsid w:val="00D867FB"/>
    <w:rsid w:val="00D90F1A"/>
    <w:rsid w:val="00D9465D"/>
    <w:rsid w:val="00D974A3"/>
    <w:rsid w:val="00D97FCD"/>
    <w:rsid w:val="00DA57E0"/>
    <w:rsid w:val="00DA7B04"/>
    <w:rsid w:val="00DB2E3A"/>
    <w:rsid w:val="00DB55F6"/>
    <w:rsid w:val="00DC3FB7"/>
    <w:rsid w:val="00DD1AE9"/>
    <w:rsid w:val="00DD200C"/>
    <w:rsid w:val="00DE354C"/>
    <w:rsid w:val="00DE5A1F"/>
    <w:rsid w:val="00DE5B10"/>
    <w:rsid w:val="00DE5FEB"/>
    <w:rsid w:val="00DE7992"/>
    <w:rsid w:val="00DF7015"/>
    <w:rsid w:val="00E03411"/>
    <w:rsid w:val="00E0404C"/>
    <w:rsid w:val="00E1360A"/>
    <w:rsid w:val="00E15A03"/>
    <w:rsid w:val="00E16EE6"/>
    <w:rsid w:val="00E17E78"/>
    <w:rsid w:val="00E25D52"/>
    <w:rsid w:val="00E26FE6"/>
    <w:rsid w:val="00E4358B"/>
    <w:rsid w:val="00E474FA"/>
    <w:rsid w:val="00E47B2C"/>
    <w:rsid w:val="00E518F1"/>
    <w:rsid w:val="00E51CA9"/>
    <w:rsid w:val="00E67BC3"/>
    <w:rsid w:val="00E72106"/>
    <w:rsid w:val="00E847D9"/>
    <w:rsid w:val="00E85CE2"/>
    <w:rsid w:val="00E9415C"/>
    <w:rsid w:val="00E9797E"/>
    <w:rsid w:val="00EA5421"/>
    <w:rsid w:val="00EA59BC"/>
    <w:rsid w:val="00EA63DD"/>
    <w:rsid w:val="00EB06A2"/>
    <w:rsid w:val="00EB2383"/>
    <w:rsid w:val="00ED0A3C"/>
    <w:rsid w:val="00ED0ABA"/>
    <w:rsid w:val="00ED13D4"/>
    <w:rsid w:val="00EE764B"/>
    <w:rsid w:val="00EF0E1D"/>
    <w:rsid w:val="00EF1D28"/>
    <w:rsid w:val="00EF2F45"/>
    <w:rsid w:val="00F06A4E"/>
    <w:rsid w:val="00F116C3"/>
    <w:rsid w:val="00F16678"/>
    <w:rsid w:val="00F20653"/>
    <w:rsid w:val="00F32B7C"/>
    <w:rsid w:val="00F335BA"/>
    <w:rsid w:val="00F45A97"/>
    <w:rsid w:val="00F5260D"/>
    <w:rsid w:val="00F57FF6"/>
    <w:rsid w:val="00F65002"/>
    <w:rsid w:val="00F72C2C"/>
    <w:rsid w:val="00F757D9"/>
    <w:rsid w:val="00F7778E"/>
    <w:rsid w:val="00F8582B"/>
    <w:rsid w:val="00F913AB"/>
    <w:rsid w:val="00F936E4"/>
    <w:rsid w:val="00F965D7"/>
    <w:rsid w:val="00F96CCE"/>
    <w:rsid w:val="00FA21B8"/>
    <w:rsid w:val="00FE4F41"/>
    <w:rsid w:val="00FF3A3A"/>
    <w:rsid w:val="00FF73C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4FDA9E3"/>
  <w15:chartTrackingRefBased/>
  <w15:docId w15:val="{E8CD73B6-4E16-47B3-9D27-5C7F2326D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1D"/>
    <w:rPr>
      <w:szCs w:val="20"/>
      <w:lang w:val="en-US" w:bidi="hi-IN"/>
    </w:rPr>
  </w:style>
  <w:style w:type="paragraph" w:styleId="Heading1">
    <w:name w:val="heading 1"/>
    <w:basedOn w:val="Normal"/>
    <w:next w:val="Normal"/>
    <w:link w:val="Heading1Char"/>
    <w:uiPriority w:val="9"/>
    <w:qFormat/>
    <w:rsid w:val="008002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02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02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02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02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0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2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02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02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02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02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0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23D"/>
    <w:rPr>
      <w:rFonts w:eastAsiaTheme="majorEastAsia" w:cstheme="majorBidi"/>
      <w:color w:val="272727" w:themeColor="text1" w:themeTint="D8"/>
    </w:rPr>
  </w:style>
  <w:style w:type="paragraph" w:styleId="Title">
    <w:name w:val="Title"/>
    <w:basedOn w:val="Normal"/>
    <w:next w:val="Normal"/>
    <w:link w:val="TitleChar"/>
    <w:uiPriority w:val="10"/>
    <w:qFormat/>
    <w:rsid w:val="00800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23D"/>
    <w:pPr>
      <w:spacing w:before="160"/>
      <w:jc w:val="center"/>
    </w:pPr>
    <w:rPr>
      <w:i/>
      <w:iCs/>
      <w:color w:val="404040" w:themeColor="text1" w:themeTint="BF"/>
    </w:rPr>
  </w:style>
  <w:style w:type="character" w:customStyle="1" w:styleId="QuoteChar">
    <w:name w:val="Quote Char"/>
    <w:basedOn w:val="DefaultParagraphFont"/>
    <w:link w:val="Quote"/>
    <w:uiPriority w:val="29"/>
    <w:rsid w:val="0080023D"/>
    <w:rPr>
      <w:i/>
      <w:iCs/>
      <w:color w:val="404040" w:themeColor="text1" w:themeTint="BF"/>
    </w:rPr>
  </w:style>
  <w:style w:type="paragraph" w:styleId="ListParagraph">
    <w:name w:val="List Paragraph"/>
    <w:basedOn w:val="Normal"/>
    <w:uiPriority w:val="1"/>
    <w:qFormat/>
    <w:rsid w:val="0080023D"/>
    <w:pPr>
      <w:ind w:left="720"/>
      <w:contextualSpacing/>
    </w:pPr>
  </w:style>
  <w:style w:type="character" w:styleId="IntenseEmphasis">
    <w:name w:val="Intense Emphasis"/>
    <w:basedOn w:val="DefaultParagraphFont"/>
    <w:uiPriority w:val="21"/>
    <w:qFormat/>
    <w:rsid w:val="0080023D"/>
    <w:rPr>
      <w:i/>
      <w:iCs/>
      <w:color w:val="2F5496" w:themeColor="accent1" w:themeShade="BF"/>
    </w:rPr>
  </w:style>
  <w:style w:type="paragraph" w:styleId="IntenseQuote">
    <w:name w:val="Intense Quote"/>
    <w:basedOn w:val="Normal"/>
    <w:next w:val="Normal"/>
    <w:link w:val="IntenseQuoteChar"/>
    <w:uiPriority w:val="30"/>
    <w:qFormat/>
    <w:rsid w:val="008002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023D"/>
    <w:rPr>
      <w:i/>
      <w:iCs/>
      <w:color w:val="2F5496" w:themeColor="accent1" w:themeShade="BF"/>
    </w:rPr>
  </w:style>
  <w:style w:type="character" w:styleId="IntenseReference">
    <w:name w:val="Intense Reference"/>
    <w:basedOn w:val="DefaultParagraphFont"/>
    <w:uiPriority w:val="32"/>
    <w:qFormat/>
    <w:rsid w:val="0080023D"/>
    <w:rPr>
      <w:b/>
      <w:bCs/>
      <w:smallCaps/>
      <w:color w:val="2F5496" w:themeColor="accent1" w:themeShade="BF"/>
      <w:spacing w:val="5"/>
    </w:rPr>
  </w:style>
  <w:style w:type="paragraph" w:styleId="Header">
    <w:name w:val="header"/>
    <w:basedOn w:val="Normal"/>
    <w:link w:val="HeaderChar"/>
    <w:uiPriority w:val="99"/>
    <w:unhideWhenUsed/>
    <w:rsid w:val="000351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15C"/>
  </w:style>
  <w:style w:type="paragraph" w:styleId="Footer">
    <w:name w:val="footer"/>
    <w:basedOn w:val="Normal"/>
    <w:link w:val="FooterChar"/>
    <w:uiPriority w:val="99"/>
    <w:unhideWhenUsed/>
    <w:rsid w:val="000351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15C"/>
  </w:style>
  <w:style w:type="character" w:styleId="Strong">
    <w:name w:val="Strong"/>
    <w:basedOn w:val="DefaultParagraphFont"/>
    <w:qFormat/>
    <w:rsid w:val="00B834DF"/>
    <w:rPr>
      <w:b/>
      <w:bCs/>
    </w:rPr>
  </w:style>
  <w:style w:type="paragraph" w:styleId="BodyText">
    <w:name w:val="Body Text"/>
    <w:basedOn w:val="Normal"/>
    <w:link w:val="BodyTextChar"/>
    <w:uiPriority w:val="1"/>
    <w:qFormat/>
    <w:rsid w:val="00684E6D"/>
    <w:pPr>
      <w:widowControl w:val="0"/>
      <w:autoSpaceDE w:val="0"/>
      <w:autoSpaceDN w:val="0"/>
      <w:spacing w:after="0" w:line="240" w:lineRule="auto"/>
    </w:pPr>
    <w:rPr>
      <w:rFonts w:ascii="Trebuchet MS" w:eastAsia="Trebuchet MS" w:hAnsi="Trebuchet MS" w:cs="Trebuchet MS"/>
      <w:kern w:val="0"/>
      <w:sz w:val="18"/>
      <w:szCs w:val="18"/>
      <w14:ligatures w14:val="none"/>
    </w:rPr>
  </w:style>
  <w:style w:type="character" w:customStyle="1" w:styleId="BodyTextChar">
    <w:name w:val="Body Text Char"/>
    <w:basedOn w:val="DefaultParagraphFont"/>
    <w:link w:val="BodyText"/>
    <w:uiPriority w:val="1"/>
    <w:rsid w:val="00684E6D"/>
    <w:rPr>
      <w:rFonts w:ascii="Trebuchet MS" w:eastAsia="Trebuchet MS" w:hAnsi="Trebuchet MS" w:cs="Trebuchet MS"/>
      <w:kern w:val="0"/>
      <w:sz w:val="18"/>
      <w:szCs w:val="18"/>
      <w:lang w:val="en-US"/>
      <w14:ligatures w14:val="none"/>
    </w:rPr>
  </w:style>
  <w:style w:type="paragraph" w:styleId="BodyText2">
    <w:name w:val="Body Text 2"/>
    <w:basedOn w:val="Normal"/>
    <w:link w:val="BodyText2Char"/>
    <w:uiPriority w:val="99"/>
    <w:unhideWhenUsed/>
    <w:rsid w:val="00D21D42"/>
    <w:pPr>
      <w:spacing w:after="120" w:line="480" w:lineRule="auto"/>
    </w:pPr>
  </w:style>
  <w:style w:type="character" w:customStyle="1" w:styleId="BodyText2Char">
    <w:name w:val="Body Text 2 Char"/>
    <w:basedOn w:val="DefaultParagraphFont"/>
    <w:link w:val="BodyText2"/>
    <w:uiPriority w:val="99"/>
    <w:rsid w:val="00D21D42"/>
  </w:style>
  <w:style w:type="paragraph" w:styleId="NoSpacing">
    <w:name w:val="No Spacing"/>
    <w:uiPriority w:val="1"/>
    <w:qFormat/>
    <w:rsid w:val="00A66C74"/>
    <w:pPr>
      <w:spacing w:after="0" w:line="240" w:lineRule="auto"/>
    </w:pPr>
  </w:style>
  <w:style w:type="table" w:styleId="TableGrid">
    <w:name w:val="Table Grid"/>
    <w:basedOn w:val="TableNormal"/>
    <w:uiPriority w:val="39"/>
    <w:rsid w:val="00AF53B0"/>
    <w:pPr>
      <w:bidi/>
      <w:spacing w:after="0" w:line="240" w:lineRule="auto"/>
    </w:pPr>
    <w:rPr>
      <w:szCs w:val="20"/>
      <w:lang w:val="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3D6D65"/>
    <w:pPr>
      <w:spacing w:after="120"/>
    </w:pPr>
    <w:rPr>
      <w:sz w:val="16"/>
      <w:szCs w:val="16"/>
    </w:rPr>
  </w:style>
  <w:style w:type="character" w:customStyle="1" w:styleId="BodyText3Char">
    <w:name w:val="Body Text 3 Char"/>
    <w:basedOn w:val="DefaultParagraphFont"/>
    <w:link w:val="BodyText3"/>
    <w:uiPriority w:val="99"/>
    <w:semiHidden/>
    <w:rsid w:val="003D6D65"/>
    <w:rPr>
      <w:sz w:val="16"/>
      <w:szCs w:val="16"/>
    </w:rPr>
  </w:style>
  <w:style w:type="table" w:customStyle="1" w:styleId="TableGrid1">
    <w:name w:val="Table Grid1"/>
    <w:basedOn w:val="TableNormal"/>
    <w:next w:val="TableGrid"/>
    <w:uiPriority w:val="59"/>
    <w:rsid w:val="00556BD2"/>
    <w:pPr>
      <w:spacing w:after="0" w:line="240" w:lineRule="auto"/>
    </w:pPr>
    <w:rPr>
      <w:rFonts w:ascii="Calibri" w:eastAsia="Calibri" w:hAnsi="Calibri" w:cs="Mangal"/>
      <w:kern w:val="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qFormat/>
    <w:rsid w:val="005B256B"/>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customStyle="1" w:styleId="relative">
    <w:name w:val="relative"/>
    <w:basedOn w:val="DefaultParagraphFont"/>
    <w:rsid w:val="005B256B"/>
  </w:style>
  <w:style w:type="paragraph" w:customStyle="1" w:styleId="papertitle">
    <w:name w:val="paper title"/>
    <w:rsid w:val="005B256B"/>
    <w:pPr>
      <w:suppressAutoHyphens/>
      <w:spacing w:after="120" w:line="240" w:lineRule="auto"/>
      <w:jc w:val="center"/>
    </w:pPr>
    <w:rPr>
      <w:rFonts w:ascii="Times New Roman" w:eastAsia="MS Mincho" w:hAnsi="Times New Roman" w:cs="Times New Roman"/>
      <w:kern w:val="0"/>
      <w:sz w:val="48"/>
      <w:szCs w:val="48"/>
      <w:lang w:val="en-US"/>
      <w14:ligatures w14:val="none"/>
    </w:rPr>
  </w:style>
  <w:style w:type="paragraph" w:customStyle="1" w:styleId="Affiliation">
    <w:name w:val="Affiliation"/>
    <w:rsid w:val="00C01E35"/>
    <w:pPr>
      <w:suppressAutoHyphens/>
      <w:spacing w:after="0" w:line="240" w:lineRule="auto"/>
      <w:jc w:val="center"/>
    </w:pPr>
    <w:rPr>
      <w:rFonts w:ascii="Times New Roman" w:eastAsia="SimSun" w:hAnsi="Times New Roman" w:cs="Times New Roman"/>
      <w:kern w:val="0"/>
      <w:sz w:val="20"/>
      <w:szCs w:val="20"/>
      <w:lang w:val="en-US" w:eastAsia="zh-CN"/>
      <w14:ligatures w14:val="none"/>
    </w:rPr>
  </w:style>
  <w:style w:type="paragraph" w:customStyle="1" w:styleId="Author">
    <w:name w:val="Author"/>
    <w:rsid w:val="00C01E35"/>
    <w:pPr>
      <w:suppressAutoHyphens/>
      <w:spacing w:before="360" w:after="40" w:line="240" w:lineRule="auto"/>
      <w:jc w:val="center"/>
    </w:pPr>
    <w:rPr>
      <w:rFonts w:ascii="Times New Roman" w:eastAsia="SimSun" w:hAnsi="Times New Roman" w:cs="Times New Roman"/>
      <w:kern w:val="0"/>
      <w:lang w:val="en-US"/>
      <w14:ligatures w14:val="none"/>
    </w:rPr>
  </w:style>
  <w:style w:type="character" w:styleId="Hyperlink">
    <w:name w:val="Hyperlink"/>
    <w:basedOn w:val="DefaultParagraphFont"/>
    <w:uiPriority w:val="99"/>
    <w:unhideWhenUsed/>
    <w:rsid w:val="00C01E35"/>
    <w:rPr>
      <w:color w:val="0563C1" w:themeColor="hyperlink"/>
      <w:u w:val="single"/>
    </w:rPr>
  </w:style>
  <w:style w:type="character" w:styleId="UnresolvedMention">
    <w:name w:val="Unresolved Mention"/>
    <w:basedOn w:val="DefaultParagraphFont"/>
    <w:uiPriority w:val="99"/>
    <w:semiHidden/>
    <w:unhideWhenUsed/>
    <w:rsid w:val="00D461AD"/>
    <w:rPr>
      <w:color w:val="605E5C"/>
      <w:shd w:val="clear" w:color="auto" w:fill="E1DFDD"/>
    </w:rPr>
  </w:style>
  <w:style w:type="paragraph" w:customStyle="1" w:styleId="Default">
    <w:name w:val="Default"/>
    <w:rsid w:val="00D20A32"/>
    <w:pPr>
      <w:autoSpaceDE w:val="0"/>
      <w:autoSpaceDN w:val="0"/>
      <w:adjustRightInd w:val="0"/>
      <w:spacing w:after="0" w:line="240" w:lineRule="auto"/>
    </w:pPr>
    <w:rPr>
      <w:rFonts w:ascii="Times New Roman" w:hAnsi="Times New Roman" w:cs="Times New Roman"/>
      <w:color w:val="000000"/>
      <w:kern w:val="0"/>
      <w:sz w:val="24"/>
      <w:szCs w:val="24"/>
    </w:rPr>
  </w:style>
  <w:style w:type="table" w:customStyle="1" w:styleId="TableGrid2">
    <w:name w:val="Table Grid2"/>
    <w:basedOn w:val="TableNormal"/>
    <w:next w:val="TableGrid"/>
    <w:uiPriority w:val="39"/>
    <w:rsid w:val="002D3101"/>
    <w:pPr>
      <w:spacing w:after="0" w:line="240" w:lineRule="auto"/>
    </w:pPr>
    <w:rPr>
      <w:kern w:val="0"/>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D1A04"/>
    <w:pPr>
      <w:spacing w:after="0" w:line="240" w:lineRule="auto"/>
    </w:pPr>
    <w:rPr>
      <w:kern w:val="0"/>
      <w:szCs w:val="20"/>
      <w:lang w:val="en-US"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421E07"/>
    <w:pPr>
      <w:spacing w:after="0" w:line="240" w:lineRule="auto"/>
    </w:pPr>
    <w:rPr>
      <w:rFonts w:ascii="Times New Roman" w:eastAsia="SimSun" w:hAnsi="Times New Roman" w:cs="Times New Roman"/>
      <w:kern w:val="0"/>
      <w:sz w:val="20"/>
      <w:szCs w:val="20"/>
      <w:lang w:eastAsia="en-I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AB55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106">
      <w:bodyDiv w:val="1"/>
      <w:marLeft w:val="0"/>
      <w:marRight w:val="0"/>
      <w:marTop w:val="0"/>
      <w:marBottom w:val="0"/>
      <w:divBdr>
        <w:top w:val="none" w:sz="0" w:space="0" w:color="auto"/>
        <w:left w:val="none" w:sz="0" w:space="0" w:color="auto"/>
        <w:bottom w:val="none" w:sz="0" w:space="0" w:color="auto"/>
        <w:right w:val="none" w:sz="0" w:space="0" w:color="auto"/>
      </w:divBdr>
    </w:div>
    <w:div w:id="588081781">
      <w:bodyDiv w:val="1"/>
      <w:marLeft w:val="0"/>
      <w:marRight w:val="0"/>
      <w:marTop w:val="0"/>
      <w:marBottom w:val="0"/>
      <w:divBdr>
        <w:top w:val="none" w:sz="0" w:space="0" w:color="auto"/>
        <w:left w:val="none" w:sz="0" w:space="0" w:color="auto"/>
        <w:bottom w:val="none" w:sz="0" w:space="0" w:color="auto"/>
        <w:right w:val="none" w:sz="0" w:space="0" w:color="auto"/>
      </w:divBdr>
    </w:div>
    <w:div w:id="912734981">
      <w:bodyDiv w:val="1"/>
      <w:marLeft w:val="0"/>
      <w:marRight w:val="0"/>
      <w:marTop w:val="0"/>
      <w:marBottom w:val="0"/>
      <w:divBdr>
        <w:top w:val="none" w:sz="0" w:space="0" w:color="auto"/>
        <w:left w:val="none" w:sz="0" w:space="0" w:color="auto"/>
        <w:bottom w:val="none" w:sz="0" w:space="0" w:color="auto"/>
        <w:right w:val="none" w:sz="0" w:space="0" w:color="auto"/>
      </w:divBdr>
    </w:div>
    <w:div w:id="1211113963">
      <w:bodyDiv w:val="1"/>
      <w:marLeft w:val="0"/>
      <w:marRight w:val="0"/>
      <w:marTop w:val="0"/>
      <w:marBottom w:val="0"/>
      <w:divBdr>
        <w:top w:val="none" w:sz="0" w:space="0" w:color="auto"/>
        <w:left w:val="none" w:sz="0" w:space="0" w:color="auto"/>
        <w:bottom w:val="none" w:sz="0" w:space="0" w:color="auto"/>
        <w:right w:val="none" w:sz="0" w:space="0" w:color="auto"/>
      </w:divBdr>
    </w:div>
    <w:div w:id="1274551740">
      <w:bodyDiv w:val="1"/>
      <w:marLeft w:val="0"/>
      <w:marRight w:val="0"/>
      <w:marTop w:val="0"/>
      <w:marBottom w:val="0"/>
      <w:divBdr>
        <w:top w:val="none" w:sz="0" w:space="0" w:color="auto"/>
        <w:left w:val="none" w:sz="0" w:space="0" w:color="auto"/>
        <w:bottom w:val="none" w:sz="0" w:space="0" w:color="auto"/>
        <w:right w:val="none" w:sz="0" w:space="0" w:color="auto"/>
      </w:divBdr>
    </w:div>
    <w:div w:id="1473981567">
      <w:bodyDiv w:val="1"/>
      <w:marLeft w:val="0"/>
      <w:marRight w:val="0"/>
      <w:marTop w:val="0"/>
      <w:marBottom w:val="0"/>
      <w:divBdr>
        <w:top w:val="none" w:sz="0" w:space="0" w:color="auto"/>
        <w:left w:val="none" w:sz="0" w:space="0" w:color="auto"/>
        <w:bottom w:val="none" w:sz="0" w:space="0" w:color="auto"/>
        <w:right w:val="none" w:sz="0" w:space="0" w:color="auto"/>
      </w:divBdr>
    </w:div>
    <w:div w:id="1642149424">
      <w:bodyDiv w:val="1"/>
      <w:marLeft w:val="0"/>
      <w:marRight w:val="0"/>
      <w:marTop w:val="0"/>
      <w:marBottom w:val="0"/>
      <w:divBdr>
        <w:top w:val="none" w:sz="0" w:space="0" w:color="auto"/>
        <w:left w:val="none" w:sz="0" w:space="0" w:color="auto"/>
        <w:bottom w:val="none" w:sz="0" w:space="0" w:color="auto"/>
        <w:right w:val="none" w:sz="0" w:space="0" w:color="auto"/>
      </w:divBdr>
    </w:div>
    <w:div w:id="165321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4063/3049-1681.vol.2.issue9.6" TargetMode="External"/><Relationship Id="rId13" Type="http://schemas.openxmlformats.org/officeDocument/2006/relationships/hyperlink" Target="https://app.answerthis.io/answer/dd2c0e446f292c22" TargetMode="External"/><Relationship Id="rId18" Type="http://schemas.openxmlformats.org/officeDocument/2006/relationships/hyperlink" Target="https://app.answerthis.io/answer/dd2c0e446f292c2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pp.answerthis.io/answer/dd2c0e446f292c22" TargetMode="External"/><Relationship Id="rId7" Type="http://schemas.openxmlformats.org/officeDocument/2006/relationships/endnotes" Target="endnotes.xml"/><Relationship Id="rId12" Type="http://schemas.openxmlformats.org/officeDocument/2006/relationships/hyperlink" Target="https://app.answerthis.io/answer/dd2c0e446f292c22" TargetMode="External"/><Relationship Id="rId17" Type="http://schemas.openxmlformats.org/officeDocument/2006/relationships/hyperlink" Target="https://app.answerthis.io/answer/dd2c0e446f292c22"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app.answerthis.io/answer/dd2c0e446f292c22" TargetMode="External"/><Relationship Id="rId20" Type="http://schemas.openxmlformats.org/officeDocument/2006/relationships/hyperlink" Target="https://app.answerthis.io/answer/dd2c0e446f292c2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answerthis.io/answer/dd2c0e446f292c2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pp.answerthis.io/answer/dd2c0e446f292c22" TargetMode="External"/><Relationship Id="rId23" Type="http://schemas.openxmlformats.org/officeDocument/2006/relationships/hyperlink" Target="https://doi.org/10.3389/fphys.2024.1451345" TargetMode="External"/><Relationship Id="rId28" Type="http://schemas.openxmlformats.org/officeDocument/2006/relationships/header" Target="header3.xml"/><Relationship Id="rId10" Type="http://schemas.openxmlformats.org/officeDocument/2006/relationships/hyperlink" Target="https://app.answerthis.io/answer/dd2c0e446f292c22" TargetMode="External"/><Relationship Id="rId19" Type="http://schemas.openxmlformats.org/officeDocument/2006/relationships/hyperlink" Target="https://app.answerthis.io/answer/dd2c0e446f292c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pp.answerthis.io/answer/dd2c0e446f292c22" TargetMode="External"/><Relationship Id="rId14" Type="http://schemas.openxmlformats.org/officeDocument/2006/relationships/hyperlink" Target="https://app.answerthis.io/answer/dd2c0e446f292c22" TargetMode="External"/><Relationship Id="rId22" Type="http://schemas.openxmlformats.org/officeDocument/2006/relationships/hyperlink" Target="https://doi.org/10.1371/journal.pmed.1002040"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2C31B-8E26-410B-A587-23E01108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692</TotalTime>
  <Pages>12</Pages>
  <Words>4037</Words>
  <Characters>28228</Characters>
  <Application>Microsoft Office Word</Application>
  <DocSecurity>0</DocSecurity>
  <Lines>576</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arpan tripathi</dc:creator>
  <cp:keywords/>
  <dc:description/>
  <cp:lastModifiedBy>arpan tripathi</cp:lastModifiedBy>
  <cp:revision>338</cp:revision>
  <dcterms:created xsi:type="dcterms:W3CDTF">2025-02-14T10:55:00Z</dcterms:created>
  <dcterms:modified xsi:type="dcterms:W3CDTF">2025-09-20T05:03:00Z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3174c03a-389b-4865-b447-afc3c3d85f56</vt:lpwstr>
  </property>
</Properties>
</file>